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B6D" w:rsidRDefault="00DB1518" w:rsidP="00DB1518">
      <w:pPr>
        <w:jc w:val="center"/>
        <w:rPr>
          <w:rFonts w:ascii="DINPro-Regular" w:hAnsi="DINPro-Regular"/>
          <w:b/>
          <w:sz w:val="20"/>
          <w:szCs w:val="20"/>
        </w:rPr>
      </w:pPr>
      <w:r>
        <w:rPr>
          <w:rFonts w:ascii="DINPro-Regular" w:hAnsi="DINPro-Regular"/>
          <w:b/>
          <w:sz w:val="20"/>
          <w:szCs w:val="20"/>
        </w:rPr>
        <w:t>’</w:t>
      </w:r>
      <w:r w:rsidRPr="00DB1518">
        <w:rPr>
          <w:rFonts w:ascii="DINPro-Regular" w:hAnsi="DINPro-Regular"/>
          <w:b/>
          <w:sz w:val="20"/>
          <w:szCs w:val="20"/>
        </w:rPr>
        <w:t>KI AZ ÉV FELÚJÍTÓJA</w:t>
      </w:r>
      <w:r>
        <w:rPr>
          <w:rFonts w:ascii="DINPro-Regular" w:hAnsi="DINPro-Regular"/>
          <w:b/>
          <w:sz w:val="20"/>
          <w:szCs w:val="20"/>
        </w:rPr>
        <w:t>’</w:t>
      </w:r>
      <w:r w:rsidRPr="00DB1518">
        <w:rPr>
          <w:rFonts w:ascii="DINPro-Regular" w:hAnsi="DINPro-Regular"/>
          <w:b/>
          <w:sz w:val="20"/>
          <w:szCs w:val="20"/>
        </w:rPr>
        <w:t xml:space="preserve"> SAJTÓESEMÉNY</w:t>
      </w:r>
    </w:p>
    <w:p w:rsidR="00855884" w:rsidRDefault="00855884" w:rsidP="00DB1518">
      <w:pPr>
        <w:jc w:val="center"/>
        <w:rPr>
          <w:rFonts w:ascii="DINPro-Regular" w:hAnsi="DINPro-Regular"/>
          <w:b/>
          <w:sz w:val="20"/>
          <w:szCs w:val="20"/>
        </w:rPr>
      </w:pPr>
      <w:r>
        <w:rPr>
          <w:rFonts w:ascii="DINPro-Regular" w:hAnsi="DINPro-Regular"/>
          <w:b/>
          <w:sz w:val="20"/>
          <w:szCs w:val="20"/>
        </w:rPr>
        <w:t xml:space="preserve">2015. január 7. </w:t>
      </w:r>
    </w:p>
    <w:p w:rsidR="00855884" w:rsidRDefault="00855884" w:rsidP="00DB1518">
      <w:pPr>
        <w:jc w:val="center"/>
        <w:rPr>
          <w:rFonts w:ascii="DINPro-Regular" w:hAnsi="DINPro-Regular"/>
          <w:b/>
          <w:sz w:val="20"/>
          <w:szCs w:val="20"/>
        </w:rPr>
      </w:pPr>
      <w:r>
        <w:rPr>
          <w:rFonts w:ascii="DINPro-Regular" w:hAnsi="DINPro-Regular"/>
          <w:b/>
          <w:sz w:val="20"/>
          <w:szCs w:val="20"/>
        </w:rPr>
        <w:t xml:space="preserve">10:30 </w:t>
      </w:r>
    </w:p>
    <w:p w:rsidR="00855884" w:rsidRDefault="00855884" w:rsidP="00DB1518">
      <w:pPr>
        <w:jc w:val="center"/>
        <w:rPr>
          <w:rFonts w:ascii="DINPro-Regular" w:hAnsi="DINPro-Regular"/>
          <w:b/>
          <w:sz w:val="20"/>
          <w:szCs w:val="20"/>
        </w:rPr>
      </w:pPr>
      <w:r>
        <w:rPr>
          <w:rFonts w:ascii="DINPro-Regular" w:hAnsi="DINPro-Regular"/>
          <w:b/>
          <w:sz w:val="20"/>
          <w:szCs w:val="20"/>
        </w:rPr>
        <w:t>FUGA</w:t>
      </w:r>
    </w:p>
    <w:p w:rsidR="00855884" w:rsidRDefault="00855884" w:rsidP="00DB1518">
      <w:pPr>
        <w:jc w:val="center"/>
        <w:rPr>
          <w:rFonts w:ascii="DINPro-Regular" w:hAnsi="DINPro-Regular"/>
          <w:b/>
          <w:sz w:val="20"/>
          <w:szCs w:val="20"/>
        </w:rPr>
      </w:pPr>
    </w:p>
    <w:p w:rsidR="00855884" w:rsidRPr="00DB1518" w:rsidRDefault="00855884" w:rsidP="00DB1518">
      <w:pPr>
        <w:jc w:val="center"/>
        <w:rPr>
          <w:rFonts w:ascii="DINPro-Regular" w:hAnsi="DINPro-Regular"/>
          <w:b/>
          <w:sz w:val="20"/>
          <w:szCs w:val="20"/>
        </w:rPr>
      </w:pPr>
    </w:p>
    <w:p w:rsidR="00DB1518" w:rsidRDefault="00DB1518" w:rsidP="00DB1518">
      <w:pPr>
        <w:jc w:val="center"/>
        <w:rPr>
          <w:rFonts w:ascii="DINPro-Regular" w:hAnsi="DINPro-Regular"/>
          <w:b/>
          <w:sz w:val="20"/>
          <w:szCs w:val="20"/>
        </w:rPr>
      </w:pPr>
      <w:r w:rsidRPr="00DB1518">
        <w:rPr>
          <w:rFonts w:ascii="DINPro-Regular" w:hAnsi="DINPro-Regular"/>
          <w:b/>
          <w:sz w:val="20"/>
          <w:szCs w:val="20"/>
        </w:rPr>
        <w:t>HÁTTÉRANYAG</w:t>
      </w:r>
    </w:p>
    <w:p w:rsidR="00CE3EE1" w:rsidRDefault="00CE3EE1" w:rsidP="00DB1518">
      <w:pPr>
        <w:jc w:val="center"/>
        <w:rPr>
          <w:rFonts w:ascii="DINPro-Regular" w:hAnsi="DINPro-Regular"/>
          <w:b/>
          <w:sz w:val="20"/>
          <w:szCs w:val="20"/>
        </w:rPr>
      </w:pPr>
    </w:p>
    <w:p w:rsidR="00CE3EE1" w:rsidRDefault="00CE3EE1" w:rsidP="00733182">
      <w:pPr>
        <w:rPr>
          <w:rFonts w:ascii="DINPro-Regular" w:hAnsi="DINPro-Regular"/>
          <w:b/>
          <w:sz w:val="20"/>
          <w:szCs w:val="20"/>
        </w:rPr>
      </w:pPr>
    </w:p>
    <w:p w:rsidR="00CE3EE1" w:rsidRPr="00DB1518" w:rsidRDefault="00CE3EE1" w:rsidP="00DB1518">
      <w:pPr>
        <w:jc w:val="center"/>
        <w:rPr>
          <w:rFonts w:ascii="DINPro-Regular" w:hAnsi="DINPro-Regular"/>
          <w:b/>
          <w:sz w:val="20"/>
          <w:szCs w:val="20"/>
        </w:rPr>
      </w:pPr>
    </w:p>
    <w:p w:rsidR="00733182" w:rsidRDefault="00733182" w:rsidP="00733182"/>
    <w:p w:rsidR="00733182" w:rsidRDefault="00733182" w:rsidP="00733182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hu-HU"/>
        </w:rPr>
        <w:id w:val="14626232"/>
        <w:docPartObj>
          <w:docPartGallery w:val="Table of Contents"/>
          <w:docPartUnique/>
        </w:docPartObj>
      </w:sdtPr>
      <w:sdtContent>
        <w:p w:rsidR="00733182" w:rsidRDefault="00733182">
          <w:pPr>
            <w:pStyle w:val="Tartalomjegyzkcmsora"/>
          </w:pPr>
          <w:r>
            <w:t>Tartalomjegyzék</w:t>
          </w:r>
        </w:p>
        <w:p w:rsidR="00733182" w:rsidRPr="003D7E1F" w:rsidRDefault="00733182" w:rsidP="00733182">
          <w:pPr>
            <w:rPr>
              <w:sz w:val="22"/>
              <w:szCs w:val="22"/>
              <w:lang w:eastAsia="en-US"/>
            </w:rPr>
          </w:pPr>
        </w:p>
        <w:p w:rsidR="00733182" w:rsidRPr="003D7E1F" w:rsidRDefault="00D21422" w:rsidP="003D7E1F">
          <w:pPr>
            <w:pStyle w:val="TJ1"/>
            <w:spacing w:after="0" w:line="276" w:lineRule="auto"/>
            <w:rPr>
              <w:rFonts w:ascii="DINPro-Regular" w:hAnsi="DINPro-Regular"/>
              <w:i/>
              <w:sz w:val="22"/>
              <w:szCs w:val="22"/>
            </w:rPr>
          </w:pPr>
          <w:r w:rsidRPr="003D7E1F">
            <w:rPr>
              <w:rFonts w:ascii="DINPro-Regular" w:hAnsi="DINPro-Regular"/>
              <w:bCs/>
              <w:i/>
              <w:sz w:val="22"/>
              <w:szCs w:val="22"/>
            </w:rPr>
            <w:t xml:space="preserve">Az energiahatékonyság a legolcsóbb energiaforrás </w:t>
          </w:r>
          <w:r w:rsidR="00733182" w:rsidRPr="003D7E1F">
            <w:rPr>
              <w:rFonts w:ascii="DINPro-Regular" w:hAnsi="DINPro-Regular"/>
              <w:i/>
              <w:sz w:val="22"/>
              <w:szCs w:val="22"/>
            </w:rPr>
            <w:ptab w:relativeTo="margin" w:alignment="right" w:leader="dot"/>
          </w:r>
          <w:r w:rsidRPr="003D7E1F">
            <w:rPr>
              <w:rFonts w:ascii="DINPro-Regular" w:hAnsi="DINPro-Regular"/>
              <w:i/>
              <w:sz w:val="22"/>
              <w:szCs w:val="22"/>
            </w:rPr>
            <w:t>2</w:t>
          </w:r>
        </w:p>
        <w:p w:rsidR="00733182" w:rsidRPr="003D7E1F" w:rsidRDefault="00D21422" w:rsidP="003D7E1F">
          <w:pPr>
            <w:pStyle w:val="TJ1"/>
            <w:spacing w:after="0" w:line="276" w:lineRule="auto"/>
            <w:rPr>
              <w:rFonts w:ascii="DINPro-Regular" w:hAnsi="DINPro-Regular"/>
              <w:i/>
              <w:sz w:val="22"/>
              <w:szCs w:val="22"/>
            </w:rPr>
          </w:pPr>
          <w:r w:rsidRPr="003D7E1F">
            <w:rPr>
              <w:rFonts w:ascii="DINPro-Regular" w:hAnsi="DINPro-Regular"/>
              <w:i/>
              <w:sz w:val="22"/>
              <w:szCs w:val="22"/>
            </w:rPr>
            <w:t xml:space="preserve">Késlekedő állami energiahatékonysági ösztönző programok </w:t>
          </w:r>
          <w:r w:rsidR="00733182" w:rsidRPr="003D7E1F">
            <w:rPr>
              <w:rFonts w:ascii="DINPro-Regular" w:hAnsi="DINPro-Regular"/>
              <w:i/>
              <w:sz w:val="22"/>
              <w:szCs w:val="22"/>
            </w:rPr>
            <w:ptab w:relativeTo="margin" w:alignment="right" w:leader="dot"/>
          </w:r>
          <w:r w:rsidRPr="003D7E1F">
            <w:rPr>
              <w:rFonts w:ascii="DINPro-Regular" w:hAnsi="DINPro-Regular"/>
              <w:i/>
              <w:sz w:val="22"/>
              <w:szCs w:val="22"/>
            </w:rPr>
            <w:t>2</w:t>
          </w:r>
        </w:p>
        <w:p w:rsidR="00D21422" w:rsidRPr="003D7E1F" w:rsidRDefault="00D21422" w:rsidP="003D7E1F">
          <w:pPr>
            <w:pStyle w:val="TJ1"/>
            <w:spacing w:after="0" w:line="276" w:lineRule="auto"/>
            <w:rPr>
              <w:rFonts w:ascii="DINPro-Regular" w:hAnsi="DINPro-Regular"/>
              <w:i/>
              <w:sz w:val="22"/>
              <w:szCs w:val="22"/>
            </w:rPr>
          </w:pPr>
          <w:r w:rsidRPr="003D7E1F">
            <w:rPr>
              <w:rFonts w:ascii="DINPro-Regular" w:hAnsi="DINPro-Regular"/>
              <w:i/>
              <w:sz w:val="22"/>
              <w:szCs w:val="22"/>
            </w:rPr>
            <w:t xml:space="preserve">Szigorodó előírások </w:t>
          </w:r>
          <w:r w:rsidRPr="003D7E1F">
            <w:rPr>
              <w:rFonts w:ascii="DINPro-Regular" w:hAnsi="DINPro-Regular"/>
              <w:i/>
              <w:sz w:val="22"/>
              <w:szCs w:val="22"/>
            </w:rPr>
            <w:ptab w:relativeTo="margin" w:alignment="right" w:leader="dot"/>
          </w:r>
          <w:r w:rsidRPr="003D7E1F">
            <w:rPr>
              <w:rFonts w:ascii="DINPro-Regular" w:hAnsi="DINPro-Regular"/>
              <w:i/>
              <w:sz w:val="22"/>
              <w:szCs w:val="22"/>
            </w:rPr>
            <w:t>3</w:t>
          </w:r>
        </w:p>
        <w:p w:rsidR="00733182" w:rsidRPr="003D7E1F" w:rsidRDefault="00D21422" w:rsidP="003D7E1F">
          <w:pPr>
            <w:pStyle w:val="TJ2"/>
            <w:spacing w:after="0"/>
            <w:ind w:left="216"/>
            <w:rPr>
              <w:rFonts w:ascii="DINPro-Regular" w:hAnsi="DINPro-Regular"/>
              <w:i/>
            </w:rPr>
          </w:pPr>
          <w:r w:rsidRPr="003D7E1F">
            <w:rPr>
              <w:rFonts w:ascii="DINPro-Regular" w:hAnsi="DINPro-Regular"/>
              <w:i/>
            </w:rPr>
            <w:t xml:space="preserve">Új szabványok a falak, ablakok megengedhető </w:t>
          </w:r>
          <w:proofErr w:type="spellStart"/>
          <w:r w:rsidRPr="003D7E1F">
            <w:rPr>
              <w:rFonts w:ascii="DINPro-Regular" w:hAnsi="DINPro-Regular"/>
              <w:i/>
            </w:rPr>
            <w:t>hőveszteségére</w:t>
          </w:r>
          <w:proofErr w:type="spellEnd"/>
          <w:r w:rsidRPr="003D7E1F">
            <w:rPr>
              <w:rFonts w:ascii="DINPro-Regular" w:hAnsi="DINPro-Regular"/>
              <w:i/>
            </w:rPr>
            <w:t xml:space="preserve"> </w:t>
          </w:r>
          <w:r w:rsidR="00733182" w:rsidRPr="003D7E1F">
            <w:rPr>
              <w:rFonts w:ascii="DINPro-Regular" w:hAnsi="DINPro-Regular"/>
              <w:i/>
            </w:rPr>
            <w:ptab w:relativeTo="margin" w:alignment="right" w:leader="dot"/>
          </w:r>
          <w:r w:rsidRPr="003D7E1F">
            <w:rPr>
              <w:rFonts w:ascii="DINPro-Regular" w:hAnsi="DINPro-Regular"/>
              <w:i/>
            </w:rPr>
            <w:t>3</w:t>
          </w:r>
        </w:p>
        <w:p w:rsidR="00D21422" w:rsidRPr="003D7E1F" w:rsidRDefault="00D21422" w:rsidP="003D7E1F">
          <w:pPr>
            <w:pStyle w:val="TJ3"/>
            <w:spacing w:after="0"/>
            <w:ind w:left="0" w:firstLine="216"/>
            <w:rPr>
              <w:rFonts w:ascii="DINPro-Regular" w:hAnsi="DINPro-Regular"/>
              <w:i/>
            </w:rPr>
          </w:pPr>
          <w:r w:rsidRPr="003D7E1F">
            <w:rPr>
              <w:rFonts w:ascii="DINPro-Regular" w:hAnsi="DINPro-Regular"/>
              <w:i/>
            </w:rPr>
            <w:t xml:space="preserve">Uniós rendelet a fűtő és vízmelegítő berendezések hatékonysági követelményeiről </w:t>
          </w:r>
          <w:r w:rsidR="00733182" w:rsidRPr="003D7E1F">
            <w:rPr>
              <w:rFonts w:ascii="DINPro-Regular" w:hAnsi="DINPro-Regular"/>
              <w:i/>
            </w:rPr>
            <w:ptab w:relativeTo="margin" w:alignment="right" w:leader="dot"/>
          </w:r>
          <w:r w:rsidRPr="003D7E1F">
            <w:rPr>
              <w:rFonts w:ascii="DINPro-Regular" w:hAnsi="DINPro-Regular"/>
              <w:i/>
            </w:rPr>
            <w:t>3</w:t>
          </w:r>
        </w:p>
        <w:p w:rsidR="00D21422" w:rsidRPr="003D7E1F" w:rsidRDefault="00D21422" w:rsidP="003D7E1F">
          <w:pPr>
            <w:spacing w:line="276" w:lineRule="auto"/>
            <w:ind w:firstLine="216"/>
            <w:jc w:val="both"/>
            <w:rPr>
              <w:rFonts w:ascii="DINPro-Regular" w:hAnsi="DINPro-Regular"/>
              <w:i/>
              <w:sz w:val="22"/>
              <w:szCs w:val="22"/>
            </w:rPr>
          </w:pPr>
          <w:r w:rsidRPr="003D7E1F">
            <w:rPr>
              <w:rFonts w:ascii="DINPro-Regular" w:hAnsi="DINPro-Regular" w:cs="Arial"/>
              <w:i/>
              <w:color w:val="222222"/>
              <w:sz w:val="22"/>
              <w:szCs w:val="22"/>
              <w:shd w:val="clear" w:color="auto" w:fill="FFFFFF"/>
            </w:rPr>
            <w:t>A magyar piac eloszlása tüzeléstechnika szempontból</w:t>
          </w:r>
          <w:r w:rsidRPr="003D7E1F">
            <w:rPr>
              <w:rFonts w:ascii="DINPro-Regular" w:hAnsi="DINPro-Regular"/>
              <w:i/>
              <w:sz w:val="22"/>
              <w:szCs w:val="22"/>
            </w:rPr>
            <w:ptab w:relativeTo="margin" w:alignment="right" w:leader="dot"/>
          </w:r>
          <w:r w:rsidR="003D7E1F" w:rsidRPr="003D7E1F">
            <w:rPr>
              <w:rFonts w:ascii="DINPro-Regular" w:hAnsi="DINPro-Regular"/>
              <w:i/>
              <w:sz w:val="22"/>
              <w:szCs w:val="22"/>
            </w:rPr>
            <w:t>4</w:t>
          </w:r>
        </w:p>
        <w:p w:rsidR="000E2629" w:rsidRPr="003D7E1F" w:rsidRDefault="000E2629" w:rsidP="003D7E1F">
          <w:pPr>
            <w:spacing w:line="276" w:lineRule="auto"/>
            <w:ind w:firstLine="426"/>
            <w:jc w:val="both"/>
            <w:rPr>
              <w:rFonts w:ascii="DINPro-Regular" w:hAnsi="DINPro-Regular"/>
              <w:i/>
              <w:sz w:val="22"/>
              <w:szCs w:val="22"/>
            </w:rPr>
          </w:pPr>
          <w:r w:rsidRPr="003D7E1F">
            <w:rPr>
              <w:rFonts w:ascii="DINPro-Regular" w:hAnsi="DINPro-Regular" w:cs="Arial"/>
              <w:i/>
              <w:color w:val="222222"/>
              <w:sz w:val="22"/>
              <w:szCs w:val="22"/>
              <w:shd w:val="clear" w:color="auto" w:fill="FFFFFF"/>
            </w:rPr>
            <w:t>A hazai gázkészülék piac</w:t>
          </w:r>
          <w:r w:rsidRPr="003D7E1F">
            <w:rPr>
              <w:rFonts w:ascii="DINPro-Regular" w:hAnsi="DINPro-Regular"/>
              <w:i/>
              <w:sz w:val="22"/>
              <w:szCs w:val="22"/>
            </w:rPr>
            <w:ptab w:relativeTo="margin" w:alignment="right" w:leader="dot"/>
          </w:r>
          <w:r w:rsidR="003D7E1F" w:rsidRPr="003D7E1F">
            <w:rPr>
              <w:rFonts w:ascii="DINPro-Regular" w:hAnsi="DINPro-Regular"/>
              <w:i/>
              <w:sz w:val="22"/>
              <w:szCs w:val="22"/>
            </w:rPr>
            <w:t>4</w:t>
          </w:r>
        </w:p>
        <w:p w:rsidR="000E2629" w:rsidRPr="003D7E1F" w:rsidRDefault="000E2629" w:rsidP="003D7E1F">
          <w:pPr>
            <w:pStyle w:val="TJ3"/>
            <w:spacing w:after="0"/>
            <w:ind w:left="0" w:firstLine="426"/>
            <w:rPr>
              <w:rFonts w:ascii="DINPro-Regular" w:hAnsi="DINPro-Regular"/>
              <w:i/>
            </w:rPr>
          </w:pPr>
          <w:r w:rsidRPr="003D7E1F">
            <w:rPr>
              <w:rFonts w:ascii="DINPro-Regular" w:hAnsi="DINPro-Regular"/>
              <w:i/>
            </w:rPr>
            <w:t>Az új gázkészülék rendeletekről</w:t>
          </w:r>
          <w:r w:rsidRPr="003D7E1F">
            <w:rPr>
              <w:rFonts w:ascii="DINPro-Regular" w:hAnsi="DINPro-Regular"/>
              <w:i/>
            </w:rPr>
            <w:ptab w:relativeTo="margin" w:alignment="right" w:leader="dot"/>
          </w:r>
          <w:r w:rsidR="003D7E1F" w:rsidRPr="003D7E1F">
            <w:rPr>
              <w:rFonts w:ascii="DINPro-Regular" w:hAnsi="DINPro-Regular"/>
              <w:i/>
            </w:rPr>
            <w:t>5</w:t>
          </w:r>
        </w:p>
        <w:p w:rsidR="000E2629" w:rsidRPr="000E2629" w:rsidRDefault="000E2629" w:rsidP="000E2629">
          <w:pPr>
            <w:ind w:firstLine="216"/>
            <w:jc w:val="both"/>
            <w:rPr>
              <w:rFonts w:ascii="DINPro-Regular" w:hAnsi="DINPro-Regular"/>
              <w:bCs/>
              <w:sz w:val="20"/>
              <w:szCs w:val="20"/>
            </w:rPr>
          </w:pPr>
        </w:p>
        <w:p w:rsidR="00733182" w:rsidRPr="00D21422" w:rsidRDefault="0059538E" w:rsidP="00D21422">
          <w:pPr>
            <w:rPr>
              <w:lang w:eastAsia="en-US"/>
            </w:rPr>
          </w:pPr>
        </w:p>
      </w:sdtContent>
    </w:sdt>
    <w:p w:rsidR="00E24F5C" w:rsidRPr="003D7E1F" w:rsidRDefault="00733182" w:rsidP="003D7E1F">
      <w:r>
        <w:br w:type="page"/>
      </w:r>
    </w:p>
    <w:p w:rsidR="00E24F5C" w:rsidRDefault="00E24F5C" w:rsidP="00134DFB">
      <w:pPr>
        <w:jc w:val="right"/>
        <w:rPr>
          <w:rFonts w:ascii="DINPro-Regular" w:hAnsi="DINPro-Regular"/>
          <w:sz w:val="20"/>
          <w:szCs w:val="20"/>
        </w:rPr>
      </w:pPr>
    </w:p>
    <w:p w:rsidR="006954E5" w:rsidRPr="007C3550" w:rsidRDefault="00C01C39" w:rsidP="00204030">
      <w:pPr>
        <w:pStyle w:val="Listaszerbekezds"/>
        <w:numPr>
          <w:ilvl w:val="0"/>
          <w:numId w:val="19"/>
        </w:numPr>
        <w:jc w:val="both"/>
        <w:rPr>
          <w:rFonts w:ascii="DINPro-Regular" w:hAnsi="DINPro-Regular"/>
          <w:b/>
          <w:bCs/>
          <w:sz w:val="20"/>
          <w:szCs w:val="20"/>
        </w:rPr>
      </w:pPr>
      <w:r w:rsidRPr="007C3550">
        <w:rPr>
          <w:rFonts w:ascii="DINPro-Regular" w:hAnsi="DINPro-Regular"/>
          <w:b/>
          <w:bCs/>
          <w:sz w:val="20"/>
          <w:szCs w:val="20"/>
        </w:rPr>
        <w:t>Az energiahatékonyság a legolcsóbb energiaforrás</w:t>
      </w:r>
    </w:p>
    <w:p w:rsidR="00CE3EE1" w:rsidRDefault="006954E5" w:rsidP="00065C40">
      <w:pPr>
        <w:jc w:val="both"/>
        <w:rPr>
          <w:rFonts w:ascii="DINPro-Regular" w:hAnsi="DINPro-Regular"/>
          <w:bCs/>
          <w:sz w:val="20"/>
          <w:szCs w:val="20"/>
        </w:rPr>
      </w:pPr>
      <w:r>
        <w:rPr>
          <w:rFonts w:ascii="DINPro-Regular" w:hAnsi="DINPro-Regular"/>
          <w:sz w:val="20"/>
          <w:szCs w:val="20"/>
        </w:rPr>
        <w:t>Magyarország</w:t>
      </w:r>
      <w:r w:rsidR="00CE3EE1">
        <w:rPr>
          <w:rFonts w:ascii="DINPro-Regular" w:hAnsi="DINPro-Regular"/>
          <w:sz w:val="20"/>
          <w:szCs w:val="20"/>
        </w:rPr>
        <w:t>on vannak az EU szinte legalacsonyabb lakossági gáz és villanyárai,</w:t>
      </w:r>
      <w:r w:rsidR="00BA40BD">
        <w:rPr>
          <w:rFonts w:ascii="DINPro-Regular" w:hAnsi="DINPro-Regular"/>
          <w:sz w:val="20"/>
          <w:szCs w:val="20"/>
        </w:rPr>
        <w:t xml:space="preserve"> de </w:t>
      </w:r>
      <w:r w:rsidR="00CF0648">
        <w:rPr>
          <w:rFonts w:ascii="DINPro-Regular" w:hAnsi="DINPro-Regular"/>
          <w:sz w:val="20"/>
          <w:szCs w:val="20"/>
        </w:rPr>
        <w:t xml:space="preserve">a </w:t>
      </w:r>
      <w:r w:rsidRPr="008773B8">
        <w:rPr>
          <w:rFonts w:ascii="DINPro-Regular" w:hAnsi="DINPro-Regular"/>
          <w:sz w:val="20"/>
          <w:szCs w:val="20"/>
        </w:rPr>
        <w:t>háztartás</w:t>
      </w:r>
      <w:r>
        <w:rPr>
          <w:rFonts w:ascii="DINPro-Regular" w:hAnsi="DINPro-Regular"/>
          <w:sz w:val="20"/>
          <w:szCs w:val="20"/>
        </w:rPr>
        <w:t>ok</w:t>
      </w:r>
      <w:r w:rsidRPr="008773B8">
        <w:rPr>
          <w:rFonts w:ascii="DINPro-Regular" w:hAnsi="DINPro-Regular"/>
          <w:sz w:val="20"/>
          <w:szCs w:val="20"/>
        </w:rPr>
        <w:t xml:space="preserve"> villamos energia- és földgázköltségei</w:t>
      </w:r>
      <w:r w:rsidR="00CE3EE1">
        <w:rPr>
          <w:rFonts w:ascii="DINPro-Regular" w:hAnsi="DINPro-Regular"/>
          <w:sz w:val="20"/>
          <w:szCs w:val="20"/>
        </w:rPr>
        <w:t xml:space="preserve"> a teljes kiadások arányában </w:t>
      </w:r>
      <w:r w:rsidR="00D5548C">
        <w:rPr>
          <w:rFonts w:ascii="DINPro-Regular" w:hAnsi="DINPro-Regular"/>
          <w:sz w:val="20"/>
          <w:szCs w:val="20"/>
        </w:rPr>
        <w:t>továbbra is megterhelőek</w:t>
      </w:r>
      <w:r>
        <w:rPr>
          <w:rFonts w:ascii="DINPro-Regular" w:hAnsi="DINPro-Regular"/>
          <w:sz w:val="20"/>
          <w:szCs w:val="20"/>
        </w:rPr>
        <w:t>. A</w:t>
      </w:r>
      <w:r w:rsidRPr="00203C9A">
        <w:rPr>
          <w:rFonts w:ascii="DINPro-Regular" w:hAnsi="DINPro-Regular"/>
          <w:sz w:val="20"/>
          <w:szCs w:val="20"/>
        </w:rPr>
        <w:t xml:space="preserve"> </w:t>
      </w:r>
      <w:r>
        <w:rPr>
          <w:rFonts w:ascii="DINPro-Regular" w:hAnsi="DINPro-Regular"/>
          <w:sz w:val="20"/>
          <w:szCs w:val="20"/>
        </w:rPr>
        <w:t>magas rezsiköltsége</w:t>
      </w:r>
      <w:r w:rsidR="00CF0648">
        <w:rPr>
          <w:rFonts w:ascii="DINPro-Regular" w:hAnsi="DINPro-Regular"/>
          <w:sz w:val="20"/>
          <w:szCs w:val="20"/>
        </w:rPr>
        <w:t>ke</w:t>
      </w:r>
      <w:r>
        <w:rPr>
          <w:rFonts w:ascii="DINPro-Regular" w:hAnsi="DINPro-Regular"/>
          <w:sz w:val="20"/>
          <w:szCs w:val="20"/>
        </w:rPr>
        <w:t>t</w:t>
      </w:r>
      <w:r w:rsidR="00D5548C">
        <w:rPr>
          <w:rFonts w:ascii="DINPro-Regular" w:hAnsi="DINPro-Regular"/>
          <w:sz w:val="20"/>
          <w:szCs w:val="20"/>
        </w:rPr>
        <w:t xml:space="preserve"> ugyanis</w:t>
      </w:r>
      <w:r w:rsidRPr="00203C9A">
        <w:rPr>
          <w:rFonts w:ascii="DINPro-Regular" w:hAnsi="DINPro-Regular"/>
          <w:sz w:val="20"/>
          <w:szCs w:val="20"/>
        </w:rPr>
        <w:t xml:space="preserve"> nem</w:t>
      </w:r>
      <w:r w:rsidR="00CE3EE1">
        <w:rPr>
          <w:rFonts w:ascii="DINPro-Regular" w:hAnsi="DINPro-Regular"/>
          <w:sz w:val="20"/>
          <w:szCs w:val="20"/>
        </w:rPr>
        <w:t xml:space="preserve"> csak</w:t>
      </w:r>
      <w:r>
        <w:rPr>
          <w:rFonts w:ascii="DINPro-Regular" w:hAnsi="DINPro-Regular"/>
          <w:sz w:val="20"/>
          <w:szCs w:val="20"/>
        </w:rPr>
        <w:t xml:space="preserve"> az </w:t>
      </w:r>
      <w:r w:rsidRPr="00203C9A">
        <w:rPr>
          <w:rFonts w:ascii="DINPro-Regular" w:hAnsi="DINPro-Regular"/>
          <w:sz w:val="20"/>
          <w:szCs w:val="20"/>
        </w:rPr>
        <w:t>energiaárak</w:t>
      </w:r>
      <w:r>
        <w:rPr>
          <w:rFonts w:ascii="DINPro-Regular" w:hAnsi="DINPro-Regular"/>
          <w:sz w:val="20"/>
          <w:szCs w:val="20"/>
        </w:rPr>
        <w:t xml:space="preserve"> okozzák,</w:t>
      </w:r>
      <w:r w:rsidRPr="00203C9A">
        <w:rPr>
          <w:rFonts w:ascii="DINPro-Regular" w:hAnsi="DINPro-Regular"/>
          <w:sz w:val="20"/>
          <w:szCs w:val="20"/>
        </w:rPr>
        <w:t xml:space="preserve"> hanem </w:t>
      </w:r>
      <w:r>
        <w:rPr>
          <w:rFonts w:ascii="DINPro-Regular" w:hAnsi="DINPro-Regular"/>
          <w:sz w:val="20"/>
          <w:szCs w:val="20"/>
        </w:rPr>
        <w:t>jelentős részben a huzatos ablakok, szigeteletlen falak, elavult fűtésrendszerek</w:t>
      </w:r>
      <w:r w:rsidRPr="00203C9A">
        <w:rPr>
          <w:rFonts w:ascii="DINPro-Regular" w:hAnsi="DINPro-Regular"/>
          <w:sz w:val="20"/>
          <w:szCs w:val="20"/>
        </w:rPr>
        <w:t xml:space="preserve">. </w:t>
      </w:r>
      <w:r>
        <w:rPr>
          <w:rFonts w:ascii="DINPro-Regular" w:hAnsi="DINPro-Regular"/>
          <w:sz w:val="20"/>
          <w:szCs w:val="20"/>
        </w:rPr>
        <w:t xml:space="preserve">A hazai lakásállomány kétharmada </w:t>
      </w:r>
      <w:r w:rsidR="00C25CC6">
        <w:rPr>
          <w:rFonts w:ascii="DINPro-Regular" w:hAnsi="DINPro-Regular"/>
          <w:sz w:val="20"/>
          <w:szCs w:val="20"/>
        </w:rPr>
        <w:t xml:space="preserve">megérett a </w:t>
      </w:r>
      <w:r>
        <w:rPr>
          <w:rFonts w:ascii="DINPro-Regular" w:hAnsi="DINPro-Regular"/>
          <w:sz w:val="20"/>
          <w:szCs w:val="20"/>
        </w:rPr>
        <w:t>felújításra</w:t>
      </w:r>
      <w:r w:rsidR="00D5548C">
        <w:rPr>
          <w:rFonts w:ascii="DINPro-Regular" w:hAnsi="DINPro-Regular"/>
          <w:sz w:val="20"/>
          <w:szCs w:val="20"/>
        </w:rPr>
        <w:t>:</w:t>
      </w:r>
      <w:r w:rsidR="00C25CC6" w:rsidRPr="009F0656">
        <w:rPr>
          <w:rFonts w:ascii="DINPro-Regular" w:hAnsi="DINPro-Regular"/>
          <w:bCs/>
          <w:sz w:val="20"/>
          <w:szCs w:val="20"/>
        </w:rPr>
        <w:t xml:space="preserve"> </w:t>
      </w:r>
      <w:r w:rsidR="00CE3EE1">
        <w:rPr>
          <w:rFonts w:ascii="DINPro-Regular" w:hAnsi="DINPro-Regular"/>
          <w:bCs/>
          <w:sz w:val="20"/>
          <w:szCs w:val="20"/>
        </w:rPr>
        <w:t xml:space="preserve">a lakosság többsége szigetelés nélküli, régi ablakos lakásban él, ahol </w:t>
      </w:r>
      <w:r w:rsidR="00A707E6">
        <w:rPr>
          <w:rFonts w:ascii="DINPro-Regular" w:hAnsi="DINPro-Regular"/>
          <w:bCs/>
          <w:sz w:val="20"/>
          <w:szCs w:val="20"/>
        </w:rPr>
        <w:t xml:space="preserve">a </w:t>
      </w:r>
      <w:r w:rsidR="00CE3EE1">
        <w:rPr>
          <w:rFonts w:ascii="DINPro-Regular" w:hAnsi="DINPro-Regular"/>
          <w:bCs/>
          <w:sz w:val="20"/>
          <w:szCs w:val="20"/>
        </w:rPr>
        <w:t>kazán</w:t>
      </w:r>
      <w:r w:rsidR="003836D5">
        <w:rPr>
          <w:rFonts w:ascii="DINPro-Regular" w:hAnsi="DINPro-Regular"/>
          <w:bCs/>
          <w:sz w:val="20"/>
          <w:szCs w:val="20"/>
        </w:rPr>
        <w:t xml:space="preserve"> </w:t>
      </w:r>
      <w:r w:rsidR="003836D5" w:rsidRPr="00A707E6">
        <w:rPr>
          <w:rFonts w:ascii="DINPro-Regular" w:hAnsi="DINPro-Regular"/>
          <w:bCs/>
          <w:sz w:val="20"/>
          <w:szCs w:val="20"/>
        </w:rPr>
        <w:t>átlagos életkora</w:t>
      </w:r>
      <w:r w:rsidR="00CE3EE1">
        <w:rPr>
          <w:rFonts w:ascii="DINPro-Regular" w:hAnsi="DINPro-Regular"/>
          <w:bCs/>
          <w:sz w:val="20"/>
          <w:szCs w:val="20"/>
        </w:rPr>
        <w:t xml:space="preserve"> 15 – 20 év. </w:t>
      </w:r>
      <w:r w:rsidR="00B9529E">
        <w:rPr>
          <w:rFonts w:ascii="DINPro-Regular" w:hAnsi="DINPro-Regular"/>
          <w:bCs/>
          <w:sz w:val="20"/>
          <w:szCs w:val="20"/>
        </w:rPr>
        <w:t xml:space="preserve"> </w:t>
      </w:r>
    </w:p>
    <w:p w:rsidR="00C25CC6" w:rsidRDefault="00C25CC6" w:rsidP="00C25CC6">
      <w:pPr>
        <w:jc w:val="both"/>
        <w:rPr>
          <w:rFonts w:ascii="DINPro-Regular" w:hAnsi="DINPro-Regular"/>
          <w:b/>
          <w:bCs/>
          <w:sz w:val="20"/>
          <w:szCs w:val="20"/>
        </w:rPr>
      </w:pPr>
    </w:p>
    <w:p w:rsidR="00F12D35" w:rsidRDefault="00DA638F" w:rsidP="006954E5">
      <w:pPr>
        <w:jc w:val="both"/>
        <w:rPr>
          <w:rFonts w:ascii="DINPro-Regular" w:eastAsia="DINPro-Regular" w:hAnsi="DINPro-Regular" w:cs="DINPro-Regular"/>
          <w:iCs/>
          <w:sz w:val="20"/>
          <w:szCs w:val="20"/>
        </w:rPr>
      </w:pPr>
      <w:r>
        <w:rPr>
          <w:rFonts w:ascii="DINPro-Regular" w:eastAsia="DINPro-Regular" w:hAnsi="DINPro-Regular" w:cs="DINPro-Regular"/>
          <w:iCs/>
          <w:sz w:val="20"/>
          <w:szCs w:val="20"/>
        </w:rPr>
        <w:t>A</w:t>
      </w:r>
      <w:r w:rsidR="00065C40" w:rsidRPr="00065C40">
        <w:rPr>
          <w:rFonts w:ascii="DINPro-Regular" w:eastAsia="DINPro-Regular" w:hAnsi="DINPro-Regular" w:cs="DINPro-Regular"/>
          <w:iCs/>
          <w:sz w:val="20"/>
          <w:szCs w:val="20"/>
        </w:rPr>
        <w:t>z energiahatékonyság a legolcsóbb energiaforrás</w:t>
      </w:r>
      <w:r w:rsidR="00065C40">
        <w:rPr>
          <w:rFonts w:ascii="DINPro-Regular" w:eastAsia="DINPro-Regular" w:hAnsi="DINPro-Regular" w:cs="DINPro-Regular"/>
          <w:iCs/>
          <w:sz w:val="20"/>
          <w:szCs w:val="20"/>
        </w:rPr>
        <w:t xml:space="preserve">, melyet már </w:t>
      </w:r>
      <w:r w:rsidR="00065C40" w:rsidRPr="00065C40">
        <w:rPr>
          <w:rFonts w:ascii="DINPro-Regular" w:eastAsia="DINPro-Regular" w:hAnsi="DINPro-Regular" w:cs="DINPro-Regular"/>
          <w:iCs/>
          <w:sz w:val="20"/>
          <w:szCs w:val="20"/>
        </w:rPr>
        <w:t xml:space="preserve">nemzetközi kutatások is </w:t>
      </w:r>
      <w:r w:rsidR="00065C40">
        <w:rPr>
          <w:rFonts w:ascii="DINPro-Regular" w:eastAsia="DINPro-Regular" w:hAnsi="DINPro-Regular" w:cs="DINPro-Regular"/>
          <w:iCs/>
          <w:sz w:val="20"/>
          <w:szCs w:val="20"/>
        </w:rPr>
        <w:t xml:space="preserve">alátámasztottak. </w:t>
      </w:r>
    </w:p>
    <w:p w:rsidR="00F12D35" w:rsidRPr="00C04D4D" w:rsidRDefault="00F12D35" w:rsidP="006954E5">
      <w:pPr>
        <w:jc w:val="both"/>
        <w:rPr>
          <w:rFonts w:ascii="DINPro-Regular" w:eastAsia="DINPro-Regular" w:hAnsi="DINPro-Regular" w:cs="DINPro-Regular"/>
          <w:sz w:val="20"/>
          <w:szCs w:val="20"/>
        </w:rPr>
      </w:pPr>
      <w:r w:rsidRPr="00CD7A25">
        <w:rPr>
          <w:rFonts w:ascii="DINPro-Regular" w:eastAsia="DINPro-Regular" w:hAnsi="DINPro-Regular" w:cs="DINPro-Regular"/>
          <w:sz w:val="20"/>
          <w:szCs w:val="20"/>
        </w:rPr>
        <w:t xml:space="preserve">2035-ig mindössze harmadát fogjuk kihasználni a rendelkezésünkre álló és gazdaságilag is megtérülő energiahatékonysági lehetőségeknek, ha nem változtatunk a mai módszereinken − áll a Nemzetközi </w:t>
      </w:r>
      <w:r w:rsidRPr="00C04D4D">
        <w:rPr>
          <w:rFonts w:ascii="DINPro-Regular" w:eastAsia="DINPro-Regular" w:hAnsi="DINPro-Regular" w:cs="DINPro-Regular"/>
          <w:sz w:val="20"/>
          <w:szCs w:val="20"/>
        </w:rPr>
        <w:t xml:space="preserve">Energiaügynökség (IEA) 2014 ősz eleji elemzésében, amely kiemeli: a világon az energiahatékonyság mindenhol alulértékelt, holott ez az egyetlen olyan terület, ahol úgy lehet gazdasági növekedést elérni, hogy közben nem nő az energiafelhasználás. Ha az EU </w:t>
      </w:r>
      <w:r w:rsidR="00FC3B68" w:rsidRPr="00C04D4D">
        <w:rPr>
          <w:rFonts w:ascii="DINPro-Regular" w:eastAsia="DINPro-Regular" w:hAnsi="DINPro-Regular" w:cs="DINPro-Regular"/>
          <w:sz w:val="20"/>
          <w:szCs w:val="20"/>
        </w:rPr>
        <w:t>tagállamok teljesen kihasználnák az energiahatékonyságból származó lehetőségeket, az IEA számítási alapján 1,1%-kal lenne magasabb a GDP-jük.  Az energiahatékonysági beruházások az IEA szerint emellett számos nem-anyagi előnnyel is járnak: melegebb, szárazabb, egészségesebb lakásokban élhetünk.</w:t>
      </w:r>
    </w:p>
    <w:p w:rsidR="00F12D35" w:rsidRPr="00C04D4D" w:rsidRDefault="00F12D35" w:rsidP="006954E5">
      <w:pPr>
        <w:jc w:val="both"/>
        <w:rPr>
          <w:rFonts w:ascii="DINPro-Regular" w:eastAsia="DINPro-Regular" w:hAnsi="DINPro-Regular" w:cs="DINPro-Regular"/>
          <w:sz w:val="20"/>
          <w:szCs w:val="20"/>
        </w:rPr>
      </w:pPr>
    </w:p>
    <w:p w:rsidR="00F12D35" w:rsidRPr="00CD7A25" w:rsidRDefault="00F12D35" w:rsidP="00F12D35">
      <w:pPr>
        <w:jc w:val="both"/>
        <w:rPr>
          <w:rFonts w:ascii="DINPro-Regular" w:eastAsia="DINPro-Regular" w:hAnsi="DINPro-Regular" w:cs="DINPro-Regular"/>
          <w:sz w:val="20"/>
          <w:szCs w:val="20"/>
        </w:rPr>
      </w:pPr>
      <w:r w:rsidRPr="00CD7A25">
        <w:rPr>
          <w:rFonts w:ascii="DINPro-Regular" w:eastAsia="DINPro-Regular" w:hAnsi="DINPro-Regular" w:cs="DINPro-Regular"/>
          <w:sz w:val="20"/>
          <w:szCs w:val="20"/>
        </w:rPr>
        <w:t xml:space="preserve">Az amerikai ACEEE (American </w:t>
      </w:r>
      <w:proofErr w:type="spellStart"/>
      <w:r w:rsidRPr="00CD7A25">
        <w:rPr>
          <w:rFonts w:ascii="DINPro-Regular" w:eastAsia="DINPro-Regular" w:hAnsi="DINPro-Regular" w:cs="DINPro-Regular"/>
          <w:sz w:val="20"/>
          <w:szCs w:val="20"/>
        </w:rPr>
        <w:t>Council</w:t>
      </w:r>
      <w:proofErr w:type="spellEnd"/>
      <w:r w:rsidRPr="00CD7A25">
        <w:rPr>
          <w:rFonts w:ascii="DINPro-Regular" w:eastAsia="DINPro-Regular" w:hAnsi="DINPro-Regular" w:cs="DINPro-Regular"/>
          <w:sz w:val="20"/>
          <w:szCs w:val="20"/>
        </w:rPr>
        <w:t xml:space="preserve"> for an </w:t>
      </w:r>
      <w:proofErr w:type="spellStart"/>
      <w:r w:rsidRPr="00CD7A25">
        <w:rPr>
          <w:rFonts w:ascii="DINPro-Regular" w:eastAsia="DINPro-Regular" w:hAnsi="DINPro-Regular" w:cs="DINPro-Regular"/>
          <w:sz w:val="20"/>
          <w:szCs w:val="20"/>
        </w:rPr>
        <w:t>Energy-Efficient</w:t>
      </w:r>
      <w:proofErr w:type="spellEnd"/>
      <w:r w:rsidRPr="00CD7A25">
        <w:rPr>
          <w:rFonts w:ascii="DINPro-Regular" w:eastAsia="DINPro-Regular" w:hAnsi="DINPro-Regular" w:cs="DINPro-Regular"/>
          <w:sz w:val="20"/>
          <w:szCs w:val="20"/>
        </w:rPr>
        <w:t xml:space="preserve"> </w:t>
      </w:r>
      <w:proofErr w:type="spellStart"/>
      <w:r w:rsidRPr="00CD7A25">
        <w:rPr>
          <w:rFonts w:ascii="DINPro-Regular" w:eastAsia="DINPro-Regular" w:hAnsi="DINPro-Regular" w:cs="DINPro-Regular"/>
          <w:sz w:val="20"/>
          <w:szCs w:val="20"/>
        </w:rPr>
        <w:t>Economy</w:t>
      </w:r>
      <w:proofErr w:type="spellEnd"/>
      <w:r w:rsidRPr="00CD7A25">
        <w:rPr>
          <w:rFonts w:ascii="DINPro-Regular" w:eastAsia="DINPro-Regular" w:hAnsi="DINPro-Regular" w:cs="DINPro-Regular"/>
          <w:sz w:val="20"/>
          <w:szCs w:val="20"/>
        </w:rPr>
        <w:t>) pedig azt állapította meg, hogy új áramtermelő kapacitásokat legolcsóbban nem új erőművekkel, hanem a haté</w:t>
      </w:r>
      <w:r>
        <w:rPr>
          <w:rFonts w:ascii="DINPro-Regular" w:eastAsia="DINPro-Regular" w:hAnsi="DINPro-Regular" w:cs="DINPro-Regular"/>
          <w:sz w:val="20"/>
          <w:szCs w:val="20"/>
        </w:rPr>
        <w:t>konyság növelésével biztosíthatjuk</w:t>
      </w:r>
      <w:r w:rsidRPr="00CD7A25">
        <w:rPr>
          <w:rFonts w:ascii="DINPro-Regular" w:eastAsia="DINPro-Regular" w:hAnsi="DINPro-Regular" w:cs="DINPro-Regular"/>
          <w:sz w:val="20"/>
          <w:szCs w:val="20"/>
        </w:rPr>
        <w:t>: energiahatékonysági beruházásokkal, megtakarítási intézkedésekkel 1 kWh áram “kitermelése” átlagosan 3 centbe (7,2 Ft) kerül, míg egy erőműben ennek előállítása kétszer-háromszor ennyi. Ehhez hozzáadódik még, hogy az energiahatékonyság növelése révén kevesebb új erőműre van szükség, és csökken a környezeti terhelés is – azaz a legolcsóbb energia az, amit fel sem használunk.</w:t>
      </w:r>
      <w:r w:rsidRPr="00CD7A25">
        <w:rPr>
          <w:rFonts w:ascii="DINPro-Regular" w:eastAsia="DINPro-Regular" w:hAnsi="DINPro-Regular" w:cs="DINPro-Regular"/>
          <w:b/>
          <w:bCs/>
          <w:sz w:val="20"/>
          <w:szCs w:val="20"/>
        </w:rPr>
        <w:t xml:space="preserve"> </w:t>
      </w:r>
    </w:p>
    <w:p w:rsidR="00F12D35" w:rsidRDefault="00F12D35" w:rsidP="006954E5">
      <w:pPr>
        <w:jc w:val="both"/>
        <w:rPr>
          <w:rFonts w:ascii="DINPro-Regular" w:eastAsia="DINPro-Regular" w:hAnsi="DINPro-Regular" w:cs="DINPro-Regular"/>
          <w:sz w:val="20"/>
          <w:szCs w:val="20"/>
        </w:rPr>
      </w:pPr>
    </w:p>
    <w:p w:rsidR="00F12D35" w:rsidRPr="00A707E6" w:rsidRDefault="00065C40" w:rsidP="006954E5">
      <w:pPr>
        <w:jc w:val="both"/>
        <w:rPr>
          <w:rFonts w:ascii="DINPro-Regular" w:hAnsi="DINPro-Regular"/>
          <w:sz w:val="20"/>
          <w:szCs w:val="20"/>
        </w:rPr>
      </w:pPr>
      <w:r w:rsidRPr="00A707E6">
        <w:rPr>
          <w:rFonts w:ascii="DINPro-Regular" w:hAnsi="DINPro-Regular"/>
          <w:sz w:val="20"/>
          <w:szCs w:val="20"/>
        </w:rPr>
        <w:t>Magyarország különösen sokat profitálhat az energiahatékonyság javításából, hiszen az ország energiafogyasztásának 40%-</w:t>
      </w:r>
      <w:proofErr w:type="gramStart"/>
      <w:r w:rsidRPr="00A707E6">
        <w:rPr>
          <w:rFonts w:ascii="DINPro-Regular" w:hAnsi="DINPro-Regular"/>
          <w:sz w:val="20"/>
          <w:szCs w:val="20"/>
        </w:rPr>
        <w:t>a</w:t>
      </w:r>
      <w:proofErr w:type="gramEnd"/>
      <w:r w:rsidRPr="00A707E6">
        <w:rPr>
          <w:rFonts w:ascii="DINPro-Regular" w:hAnsi="DINPro-Regular"/>
          <w:sz w:val="20"/>
          <w:szCs w:val="20"/>
        </w:rPr>
        <w:t xml:space="preserve"> a lakásokhoz kötődik, azaz rengeteg import gázt válthatunk ki, miközben a háztartások rezsije</w:t>
      </w:r>
      <w:r w:rsidR="003836D5" w:rsidRPr="00A707E6">
        <w:rPr>
          <w:rFonts w:ascii="DINPro-Regular" w:hAnsi="DINPro-Regular"/>
          <w:sz w:val="20"/>
          <w:szCs w:val="20"/>
        </w:rPr>
        <w:t xml:space="preserve"> valójában</w:t>
      </w:r>
      <w:r w:rsidRPr="00A707E6">
        <w:rPr>
          <w:rFonts w:ascii="DINPro-Regular" w:hAnsi="DINPro-Regular"/>
          <w:sz w:val="20"/>
          <w:szCs w:val="20"/>
        </w:rPr>
        <w:t xml:space="preserve"> is tovább csökken</w:t>
      </w:r>
      <w:r w:rsidR="003836D5" w:rsidRPr="00A707E6">
        <w:rPr>
          <w:rFonts w:ascii="DINPro-Regular" w:hAnsi="DINPro-Regular"/>
          <w:sz w:val="20"/>
          <w:szCs w:val="20"/>
        </w:rPr>
        <w:t>ne</w:t>
      </w:r>
      <w:r w:rsidRPr="00A707E6">
        <w:rPr>
          <w:rFonts w:ascii="DINPro-Regular" w:hAnsi="DINPro-Regular"/>
          <w:sz w:val="20"/>
          <w:szCs w:val="20"/>
        </w:rPr>
        <w:t>.</w:t>
      </w:r>
      <w:r w:rsidR="00DA638F" w:rsidRPr="00A707E6">
        <w:rPr>
          <w:rFonts w:ascii="DINPro-Regular" w:hAnsi="DINPro-Regular"/>
          <w:sz w:val="20"/>
          <w:szCs w:val="20"/>
        </w:rPr>
        <w:t xml:space="preserve"> </w:t>
      </w:r>
    </w:p>
    <w:p w:rsidR="00F12D35" w:rsidRDefault="00F12D35" w:rsidP="006954E5">
      <w:pPr>
        <w:jc w:val="both"/>
        <w:rPr>
          <w:rFonts w:ascii="DINPro-Regular" w:hAnsi="DINPro-Regular"/>
          <w:sz w:val="20"/>
          <w:szCs w:val="20"/>
        </w:rPr>
      </w:pPr>
    </w:p>
    <w:p w:rsidR="00F12D35" w:rsidRPr="007C3550" w:rsidRDefault="00F12D35" w:rsidP="00204030">
      <w:pPr>
        <w:pStyle w:val="Listaszerbekezds"/>
        <w:numPr>
          <w:ilvl w:val="0"/>
          <w:numId w:val="19"/>
        </w:numPr>
        <w:jc w:val="both"/>
        <w:rPr>
          <w:rFonts w:ascii="DINPro-Regular" w:hAnsi="DINPro-Regular"/>
          <w:b/>
          <w:sz w:val="20"/>
          <w:szCs w:val="20"/>
        </w:rPr>
      </w:pPr>
      <w:r w:rsidRPr="007C3550">
        <w:rPr>
          <w:rFonts w:ascii="DINPro-Regular" w:hAnsi="DINPro-Regular"/>
          <w:b/>
          <w:sz w:val="20"/>
          <w:szCs w:val="20"/>
        </w:rPr>
        <w:t>Késlekedő állami energiahatékonysági ösztönző programok</w:t>
      </w:r>
    </w:p>
    <w:p w:rsidR="00F12D35" w:rsidRDefault="00F12D35" w:rsidP="00F12D35">
      <w:pPr>
        <w:jc w:val="both"/>
        <w:rPr>
          <w:rFonts w:ascii="DINPro-Regular" w:hAnsi="DINPro-Regular"/>
          <w:sz w:val="20"/>
          <w:szCs w:val="20"/>
        </w:rPr>
      </w:pPr>
      <w:r>
        <w:rPr>
          <w:rFonts w:ascii="DINPro-Regular" w:hAnsi="DINPro-Regular"/>
          <w:sz w:val="20"/>
          <w:szCs w:val="20"/>
        </w:rPr>
        <w:t>Sajnos a legtöbb családnak nincs pénze arra, hogy a szükséges felújításokat elvégezze:</w:t>
      </w:r>
      <w:r w:rsidRPr="00C25CC6">
        <w:rPr>
          <w:rFonts w:ascii="DINPro-Regular" w:hAnsi="DINPro-Regular"/>
          <w:sz w:val="20"/>
          <w:szCs w:val="20"/>
        </w:rPr>
        <w:t xml:space="preserve"> </w:t>
      </w:r>
      <w:r>
        <w:rPr>
          <w:rFonts w:ascii="DINPro-Regular" w:hAnsi="DINPro-Regular"/>
          <w:sz w:val="20"/>
          <w:szCs w:val="20"/>
        </w:rPr>
        <w:t xml:space="preserve">a magyar </w:t>
      </w:r>
      <w:r w:rsidRPr="00F6221A">
        <w:rPr>
          <w:rFonts w:ascii="DINPro-Regular" w:hAnsi="DINPro-Regular"/>
          <w:sz w:val="20"/>
          <w:szCs w:val="20"/>
        </w:rPr>
        <w:t>háztartások 95%-</w:t>
      </w:r>
      <w:proofErr w:type="gramStart"/>
      <w:r w:rsidRPr="00F6221A">
        <w:rPr>
          <w:rFonts w:ascii="DINPro-Regular" w:hAnsi="DINPro-Regular"/>
          <w:sz w:val="20"/>
          <w:szCs w:val="20"/>
        </w:rPr>
        <w:t>a</w:t>
      </w:r>
      <w:proofErr w:type="gramEnd"/>
      <w:r w:rsidRPr="00F6221A">
        <w:rPr>
          <w:rFonts w:ascii="DINPro-Regular" w:hAnsi="DINPro-Regular"/>
          <w:sz w:val="20"/>
          <w:szCs w:val="20"/>
        </w:rPr>
        <w:t xml:space="preserve"> alig rendelkezik megtakarítással.</w:t>
      </w:r>
      <w:r>
        <w:rPr>
          <w:rFonts w:ascii="DINPro-Regular" w:hAnsi="DINPro-Regular"/>
          <w:sz w:val="20"/>
          <w:szCs w:val="20"/>
        </w:rPr>
        <w:t xml:space="preserve"> Pedig igény lenne rá. Egy 2014 év eleji reprezentatív felmérés szerint</w:t>
      </w:r>
      <w:r>
        <w:rPr>
          <w:rStyle w:val="Lbjegyzet-hivatkozs"/>
          <w:rFonts w:ascii="DINPro-Regular" w:hAnsi="DINPro-Regular"/>
          <w:sz w:val="20"/>
          <w:szCs w:val="20"/>
        </w:rPr>
        <w:footnoteReference w:id="1"/>
      </w:r>
      <w:r>
        <w:rPr>
          <w:rFonts w:ascii="DINPro-Regular" w:hAnsi="DINPro-Regular"/>
          <w:sz w:val="20"/>
          <w:szCs w:val="20"/>
        </w:rPr>
        <w:t xml:space="preserve"> a háztartások 20%-a tervezi, hogy 3 éven belül valamilyen energetikai célú felújításba kezd és az ezt</w:t>
      </w:r>
      <w:r w:rsidRPr="006A1226">
        <w:rPr>
          <w:rFonts w:ascii="DINPro-Regular" w:hAnsi="DINPro-Regular"/>
          <w:sz w:val="20"/>
          <w:szCs w:val="20"/>
        </w:rPr>
        <w:t xml:space="preserve"> tervező háztartások 41%-</w:t>
      </w:r>
      <w:proofErr w:type="gramStart"/>
      <w:r w:rsidRPr="006A1226">
        <w:rPr>
          <w:rFonts w:ascii="DINPro-Regular" w:hAnsi="DINPro-Regular"/>
          <w:sz w:val="20"/>
          <w:szCs w:val="20"/>
        </w:rPr>
        <w:t>a</w:t>
      </w:r>
      <w:proofErr w:type="gramEnd"/>
      <w:r w:rsidRPr="006A1226">
        <w:rPr>
          <w:rFonts w:ascii="DINPro-Regular" w:hAnsi="DINPro-Regular"/>
          <w:sz w:val="20"/>
          <w:szCs w:val="20"/>
        </w:rPr>
        <w:t xml:space="preserve"> a magas rezsi miatt vágna bele a</w:t>
      </w:r>
      <w:r>
        <w:rPr>
          <w:rFonts w:ascii="DINPro-Regular" w:hAnsi="DINPro-Regular"/>
          <w:sz w:val="20"/>
          <w:szCs w:val="20"/>
        </w:rPr>
        <w:t xml:space="preserve"> munkálatokba. </w:t>
      </w:r>
    </w:p>
    <w:p w:rsidR="00F12D35" w:rsidRDefault="00F12D35" w:rsidP="00F12D35">
      <w:pPr>
        <w:jc w:val="both"/>
        <w:rPr>
          <w:rFonts w:ascii="DINPro-Regular" w:hAnsi="DINPro-Regular"/>
          <w:sz w:val="20"/>
          <w:szCs w:val="20"/>
        </w:rPr>
      </w:pPr>
    </w:p>
    <w:p w:rsidR="0097150C" w:rsidRDefault="00D64579" w:rsidP="00F12D35">
      <w:pPr>
        <w:jc w:val="both"/>
        <w:rPr>
          <w:rFonts w:ascii="DINPro-Regular" w:hAnsi="DINPro-Regular"/>
          <w:sz w:val="20"/>
          <w:szCs w:val="20"/>
        </w:rPr>
      </w:pPr>
      <w:r w:rsidRPr="000A3C16">
        <w:rPr>
          <w:rFonts w:ascii="DINPro-Regular" w:hAnsi="DINPro-Regular"/>
          <w:sz w:val="20"/>
          <w:szCs w:val="20"/>
        </w:rPr>
        <w:t>A</w:t>
      </w:r>
      <w:r>
        <w:rPr>
          <w:rFonts w:ascii="DINPro-Regular" w:hAnsi="DINPro-Regular"/>
          <w:sz w:val="20"/>
          <w:szCs w:val="20"/>
        </w:rPr>
        <w:t xml:space="preserve"> Brüsszelnek 2014 novemberében benyújtott, második körben átdolgozott</w:t>
      </w:r>
      <w:r w:rsidRPr="000A3C16">
        <w:rPr>
          <w:rFonts w:ascii="DINPro-Regular" w:hAnsi="DINPro-Regular"/>
          <w:sz w:val="20"/>
          <w:szCs w:val="20"/>
        </w:rPr>
        <w:t xml:space="preserve"> </w:t>
      </w:r>
      <w:r>
        <w:rPr>
          <w:rFonts w:ascii="DINPro-Regular" w:hAnsi="DINPro-Regular"/>
          <w:sz w:val="20"/>
          <w:szCs w:val="20"/>
        </w:rPr>
        <w:t>o</w:t>
      </w:r>
      <w:r w:rsidRPr="000A3C16">
        <w:rPr>
          <w:rFonts w:ascii="DINPro-Regular" w:hAnsi="DINPro-Regular"/>
          <w:sz w:val="20"/>
          <w:szCs w:val="20"/>
        </w:rPr>
        <w:t xml:space="preserve">peratív </w:t>
      </w:r>
      <w:r>
        <w:rPr>
          <w:rFonts w:ascii="DINPro-Regular" w:hAnsi="DINPro-Regular"/>
          <w:sz w:val="20"/>
          <w:szCs w:val="20"/>
        </w:rPr>
        <w:t>p</w:t>
      </w:r>
      <w:r w:rsidRPr="000A3C16">
        <w:rPr>
          <w:rFonts w:ascii="DINPro-Regular" w:hAnsi="DINPro-Regular"/>
          <w:sz w:val="20"/>
          <w:szCs w:val="20"/>
        </w:rPr>
        <w:t>rogram</w:t>
      </w:r>
      <w:r>
        <w:rPr>
          <w:rFonts w:ascii="DINPro-Regular" w:hAnsi="DINPro-Regular"/>
          <w:sz w:val="20"/>
          <w:szCs w:val="20"/>
        </w:rPr>
        <w:t>-</w:t>
      </w:r>
      <w:r w:rsidRPr="000A3C16">
        <w:rPr>
          <w:rFonts w:ascii="DINPro-Regular" w:hAnsi="DINPro-Regular"/>
          <w:sz w:val="20"/>
          <w:szCs w:val="20"/>
        </w:rPr>
        <w:t xml:space="preserve">tervezetek az eddigieknél sokkal részletesebben mutatták be, hogy a Kormány mire kívánja </w:t>
      </w:r>
      <w:r>
        <w:rPr>
          <w:rFonts w:ascii="DINPro-Regular" w:hAnsi="DINPro-Regular"/>
          <w:sz w:val="20"/>
          <w:szCs w:val="20"/>
        </w:rPr>
        <w:t>fordítan</w:t>
      </w:r>
      <w:r w:rsidRPr="000A3C16">
        <w:rPr>
          <w:rFonts w:ascii="DINPro-Regular" w:hAnsi="DINPro-Regular"/>
          <w:sz w:val="20"/>
          <w:szCs w:val="20"/>
        </w:rPr>
        <w:t xml:space="preserve">i az uniós forrásokat. </w:t>
      </w:r>
    </w:p>
    <w:p w:rsidR="0097150C" w:rsidRPr="0057437B" w:rsidRDefault="00F12D35" w:rsidP="0097150C">
      <w:pPr>
        <w:jc w:val="both"/>
        <w:rPr>
          <w:rFonts w:ascii="DINPro-Regular" w:hAnsi="DINPro-Regular"/>
          <w:sz w:val="20"/>
          <w:szCs w:val="20"/>
        </w:rPr>
      </w:pPr>
      <w:r w:rsidRPr="00F12D35">
        <w:rPr>
          <w:rFonts w:ascii="DINPro-Regular" w:hAnsi="DINPro-Regular"/>
          <w:sz w:val="20"/>
          <w:szCs w:val="20"/>
        </w:rPr>
        <w:t xml:space="preserve">2015-től </w:t>
      </w:r>
      <w:r>
        <w:rPr>
          <w:rFonts w:ascii="DINPro-Regular" w:hAnsi="DINPro-Regular"/>
          <w:sz w:val="20"/>
          <w:szCs w:val="20"/>
        </w:rPr>
        <w:t xml:space="preserve">évi </w:t>
      </w:r>
      <w:r w:rsidRPr="00F12D35">
        <w:rPr>
          <w:rFonts w:ascii="DINPro-Regular" w:hAnsi="DINPro-Regular"/>
          <w:sz w:val="20"/>
          <w:szCs w:val="20"/>
        </w:rPr>
        <w:t>63 milliárd forint jut energiahatékonysági beruházásokra</w:t>
      </w:r>
      <w:r w:rsidR="00D64579" w:rsidRPr="000A3C16">
        <w:rPr>
          <w:rFonts w:ascii="DINPro-Regular" w:hAnsi="DINPro-Regular"/>
          <w:sz w:val="20"/>
          <w:szCs w:val="20"/>
        </w:rPr>
        <w:t>,</w:t>
      </w:r>
      <w:r w:rsidR="00D64579">
        <w:rPr>
          <w:rFonts w:ascii="DINPro-Regular" w:hAnsi="DINPro-Regular"/>
          <w:sz w:val="20"/>
          <w:szCs w:val="20"/>
        </w:rPr>
        <w:t xml:space="preserve"> </w:t>
      </w:r>
      <w:r w:rsidR="00D64579" w:rsidRPr="000A3C16">
        <w:rPr>
          <w:rFonts w:ascii="DINPro-Regular" w:hAnsi="DINPro-Regular"/>
          <w:sz w:val="20"/>
          <w:szCs w:val="20"/>
        </w:rPr>
        <w:t xml:space="preserve">amiből </w:t>
      </w:r>
      <w:r w:rsidR="00D64579">
        <w:rPr>
          <w:rFonts w:ascii="DINPro-Regular" w:hAnsi="DINPro-Regular"/>
          <w:sz w:val="20"/>
          <w:szCs w:val="20"/>
        </w:rPr>
        <w:t xml:space="preserve">mintegy </w:t>
      </w:r>
      <w:r w:rsidR="00D64579" w:rsidRPr="000A3C16">
        <w:rPr>
          <w:rFonts w:ascii="DINPro-Regular" w:hAnsi="DINPro-Regular"/>
          <w:sz w:val="20"/>
          <w:szCs w:val="20"/>
        </w:rPr>
        <w:t>20% jut a KKV-knak, 50% a lakosságnak, és 30% a középületek</w:t>
      </w:r>
      <w:r w:rsidR="00D64579">
        <w:rPr>
          <w:rFonts w:ascii="DINPro-Regular" w:hAnsi="DINPro-Regular"/>
          <w:sz w:val="20"/>
          <w:szCs w:val="20"/>
        </w:rPr>
        <w:t>re fordítódhat</w:t>
      </w:r>
      <w:r w:rsidR="00D64579" w:rsidRPr="000A3C16">
        <w:rPr>
          <w:rFonts w:ascii="DINPro-Regular" w:hAnsi="DINPro-Regular"/>
          <w:sz w:val="20"/>
          <w:szCs w:val="20"/>
        </w:rPr>
        <w:t>.</w:t>
      </w:r>
      <w:r w:rsidR="00D64579">
        <w:rPr>
          <w:rFonts w:ascii="DINPro-Regular" w:hAnsi="DINPro-Regular"/>
          <w:sz w:val="20"/>
          <w:szCs w:val="20"/>
        </w:rPr>
        <w:t xml:space="preserve"> Forintosítva </w:t>
      </w:r>
      <w:r w:rsidRPr="00F12D35">
        <w:rPr>
          <w:rFonts w:ascii="DINPro-Regular" w:hAnsi="DINPro-Regular"/>
          <w:sz w:val="20"/>
          <w:szCs w:val="20"/>
        </w:rPr>
        <w:t>33-34 milliárdnyit kaphat majd a lakosság vissza nem térítendő támogatás, illetve kedvezményes hitel formájában.</w:t>
      </w:r>
      <w:r>
        <w:rPr>
          <w:rFonts w:ascii="DINPro-Regular" w:hAnsi="DINPro-Regular"/>
          <w:sz w:val="20"/>
          <w:szCs w:val="20"/>
        </w:rPr>
        <w:t xml:space="preserve"> </w:t>
      </w:r>
      <w:r w:rsidR="0097150C">
        <w:rPr>
          <w:rFonts w:ascii="DINPro-Regular" w:hAnsi="DINPro-Regular"/>
          <w:sz w:val="20"/>
          <w:szCs w:val="20"/>
        </w:rPr>
        <w:t>Ha feltételezzük</w:t>
      </w:r>
      <w:r w:rsidR="0097150C" w:rsidRPr="0057437B">
        <w:rPr>
          <w:rFonts w:ascii="DINPro-Regular" w:hAnsi="DINPro-Regular"/>
          <w:sz w:val="20"/>
          <w:szCs w:val="20"/>
        </w:rPr>
        <w:t xml:space="preserve">, hogy a pénz hatékonyan kerül elköltésre, ebből akár évi 30 ezer </w:t>
      </w:r>
      <w:r w:rsidR="0097150C">
        <w:rPr>
          <w:rFonts w:ascii="DINPro-Regular" w:hAnsi="DINPro-Regular"/>
          <w:sz w:val="20"/>
          <w:szCs w:val="20"/>
        </w:rPr>
        <w:t>lakás</w:t>
      </w:r>
      <w:r w:rsidR="0097150C" w:rsidRPr="0057437B">
        <w:rPr>
          <w:rFonts w:ascii="DINPro-Regular" w:hAnsi="DINPro-Regular"/>
          <w:sz w:val="20"/>
          <w:szCs w:val="20"/>
        </w:rPr>
        <w:t xml:space="preserve"> </w:t>
      </w:r>
      <w:r w:rsidR="0097150C">
        <w:rPr>
          <w:rFonts w:ascii="DINPro-Regular" w:hAnsi="DINPro-Regular"/>
          <w:sz w:val="20"/>
          <w:szCs w:val="20"/>
        </w:rPr>
        <w:t>energetikai</w:t>
      </w:r>
      <w:r w:rsidR="0097150C" w:rsidRPr="0057437B">
        <w:rPr>
          <w:rFonts w:ascii="DINPro-Regular" w:hAnsi="DINPro-Regular"/>
          <w:sz w:val="20"/>
          <w:szCs w:val="20"/>
        </w:rPr>
        <w:t xml:space="preserve"> felújít</w:t>
      </w:r>
      <w:r w:rsidR="0097150C">
        <w:rPr>
          <w:rFonts w:ascii="DINPro-Regular" w:hAnsi="DINPro-Regular"/>
          <w:sz w:val="20"/>
          <w:szCs w:val="20"/>
        </w:rPr>
        <w:t>ása megvalósulhat</w:t>
      </w:r>
      <w:r w:rsidR="0097150C" w:rsidRPr="0057437B">
        <w:rPr>
          <w:rFonts w:ascii="DINPro-Regular" w:hAnsi="DINPro-Regular"/>
          <w:sz w:val="20"/>
          <w:szCs w:val="20"/>
        </w:rPr>
        <w:t>, nem beszélve a jelentős vállalati és középületi beruházásokról.</w:t>
      </w:r>
    </w:p>
    <w:p w:rsidR="0097150C" w:rsidRDefault="0097150C" w:rsidP="0097150C">
      <w:pPr>
        <w:jc w:val="both"/>
        <w:rPr>
          <w:rFonts w:ascii="DINPro-Regular" w:hAnsi="DINPro-Regular"/>
          <w:sz w:val="20"/>
          <w:szCs w:val="20"/>
        </w:rPr>
      </w:pPr>
      <w:r w:rsidRPr="000A3C16">
        <w:rPr>
          <w:rFonts w:ascii="DINPro-Regular" w:hAnsi="DINPro-Regular"/>
          <w:sz w:val="20"/>
          <w:szCs w:val="20"/>
        </w:rPr>
        <w:t xml:space="preserve">Mindez azonban csak akkor indulhat meg, ha </w:t>
      </w:r>
      <w:r>
        <w:rPr>
          <w:rFonts w:ascii="DINPro-Regular" w:hAnsi="DINPro-Regular"/>
          <w:sz w:val="20"/>
          <w:szCs w:val="20"/>
        </w:rPr>
        <w:t xml:space="preserve">felállnak az </w:t>
      </w:r>
      <w:r w:rsidRPr="000A3C16">
        <w:rPr>
          <w:rFonts w:ascii="DINPro-Regular" w:hAnsi="DINPro-Regular"/>
          <w:sz w:val="20"/>
          <w:szCs w:val="20"/>
        </w:rPr>
        <w:t xml:space="preserve">ehhez szükséges </w:t>
      </w:r>
      <w:r>
        <w:rPr>
          <w:rFonts w:ascii="DINPro-Regular" w:hAnsi="DINPro-Regular"/>
          <w:sz w:val="20"/>
          <w:szCs w:val="20"/>
        </w:rPr>
        <w:t xml:space="preserve">lebonyolító és </w:t>
      </w:r>
      <w:r w:rsidRPr="000A3C16">
        <w:rPr>
          <w:rFonts w:ascii="DINPro-Regular" w:hAnsi="DINPro-Regular"/>
          <w:sz w:val="20"/>
          <w:szCs w:val="20"/>
        </w:rPr>
        <w:t xml:space="preserve">finanszírozási rendszerek. Az uniós szabályok szerint magánszemélyek </w:t>
      </w:r>
      <w:r>
        <w:rPr>
          <w:rFonts w:ascii="DINPro-Regular" w:hAnsi="DINPro-Regular"/>
          <w:sz w:val="20"/>
          <w:szCs w:val="20"/>
        </w:rPr>
        <w:t xml:space="preserve">ugyanis </w:t>
      </w:r>
      <w:r w:rsidRPr="000A3C16">
        <w:rPr>
          <w:rFonts w:ascii="DINPro-Regular" w:hAnsi="DINPro-Regular"/>
          <w:sz w:val="20"/>
          <w:szCs w:val="20"/>
        </w:rPr>
        <w:t xml:space="preserve">nem kaphatnak közvetlenül </w:t>
      </w:r>
      <w:r>
        <w:rPr>
          <w:rFonts w:ascii="DINPro-Regular" w:hAnsi="DINPro-Regular"/>
          <w:sz w:val="20"/>
          <w:szCs w:val="20"/>
        </w:rPr>
        <w:t>uniós</w:t>
      </w:r>
      <w:r w:rsidRPr="000A3C16">
        <w:rPr>
          <w:rFonts w:ascii="DINPro-Regular" w:hAnsi="DINPro-Regular"/>
          <w:sz w:val="20"/>
          <w:szCs w:val="20"/>
        </w:rPr>
        <w:t xml:space="preserve"> támogatást, így közvetít</w:t>
      </w:r>
      <w:r>
        <w:rPr>
          <w:rFonts w:ascii="DINPro-Regular" w:hAnsi="DINPro-Regular"/>
          <w:sz w:val="20"/>
          <w:szCs w:val="20"/>
        </w:rPr>
        <w:t xml:space="preserve">ő </w:t>
      </w:r>
      <w:r w:rsidRPr="000A3C16">
        <w:rPr>
          <w:rFonts w:ascii="DINPro-Regular" w:hAnsi="DINPro-Regular"/>
          <w:sz w:val="20"/>
          <w:szCs w:val="20"/>
        </w:rPr>
        <w:t xml:space="preserve">szervezetekre (pl. bankok, takarékpénztárak) </w:t>
      </w:r>
      <w:r>
        <w:rPr>
          <w:rFonts w:ascii="DINPro-Regular" w:hAnsi="DINPro-Regular"/>
          <w:sz w:val="20"/>
          <w:szCs w:val="20"/>
        </w:rPr>
        <w:t xml:space="preserve">beiktatására </w:t>
      </w:r>
      <w:r w:rsidRPr="000A3C16">
        <w:rPr>
          <w:rFonts w:ascii="DINPro-Regular" w:hAnsi="DINPro-Regular"/>
          <w:sz w:val="20"/>
          <w:szCs w:val="20"/>
        </w:rPr>
        <w:t>van szükség.  E közvetítők ahhoz is kellenek, hogy a támogatást kiegészítő</w:t>
      </w:r>
      <w:r>
        <w:rPr>
          <w:rFonts w:ascii="DINPro-Regular" w:hAnsi="DINPro-Regular"/>
          <w:sz w:val="20"/>
          <w:szCs w:val="20"/>
        </w:rPr>
        <w:t xml:space="preserve"> </w:t>
      </w:r>
      <w:r w:rsidRPr="000A3C16">
        <w:rPr>
          <w:rFonts w:ascii="DINPro-Regular" w:hAnsi="DINPro-Regular"/>
          <w:sz w:val="20"/>
          <w:szCs w:val="20"/>
        </w:rPr>
        <w:t>hiteleket eljuttassák az ügyfelekhez.  A rendszer előkészítése és kialakítása, a közvetítők kiválasztása hosszú</w:t>
      </w:r>
      <w:r>
        <w:rPr>
          <w:rFonts w:ascii="DINPro-Regular" w:hAnsi="DINPro-Regular"/>
          <w:sz w:val="20"/>
          <w:szCs w:val="20"/>
        </w:rPr>
        <w:t xml:space="preserve"> </w:t>
      </w:r>
      <w:r w:rsidRPr="000A3C16">
        <w:rPr>
          <w:rFonts w:ascii="DINPro-Regular" w:hAnsi="DINPro-Regular"/>
          <w:sz w:val="20"/>
          <w:szCs w:val="20"/>
        </w:rPr>
        <w:t>hónapokat vehet igénybe, és 2015 közepe is lehet, amíg elkezdődik az igények zökkenőmentes kiszolgálása</w:t>
      </w:r>
      <w:r>
        <w:rPr>
          <w:rFonts w:ascii="DINPro-Regular" w:hAnsi="DINPro-Regular"/>
          <w:sz w:val="20"/>
          <w:szCs w:val="20"/>
        </w:rPr>
        <w:t>.</w:t>
      </w:r>
    </w:p>
    <w:p w:rsidR="00F12D35" w:rsidRDefault="00F12D35" w:rsidP="00F12D35">
      <w:pPr>
        <w:jc w:val="both"/>
        <w:rPr>
          <w:rFonts w:ascii="DINPro-Regular" w:hAnsi="DINPro-Regular"/>
          <w:sz w:val="20"/>
          <w:szCs w:val="20"/>
        </w:rPr>
      </w:pPr>
    </w:p>
    <w:p w:rsidR="0097150C" w:rsidRPr="007C3550" w:rsidRDefault="0097150C" w:rsidP="00204030">
      <w:pPr>
        <w:pStyle w:val="Listaszerbekezds"/>
        <w:numPr>
          <w:ilvl w:val="0"/>
          <w:numId w:val="19"/>
        </w:numPr>
        <w:jc w:val="both"/>
        <w:rPr>
          <w:rFonts w:ascii="DINPro-Regular" w:hAnsi="DINPro-Regular"/>
          <w:b/>
          <w:sz w:val="20"/>
          <w:szCs w:val="20"/>
        </w:rPr>
      </w:pPr>
      <w:r w:rsidRPr="007C3550">
        <w:rPr>
          <w:rFonts w:ascii="DINPro-Regular" w:hAnsi="DINPro-Regular"/>
          <w:b/>
          <w:sz w:val="20"/>
          <w:szCs w:val="20"/>
        </w:rPr>
        <w:t>Szigorodó előírások</w:t>
      </w:r>
    </w:p>
    <w:p w:rsidR="00CF0648" w:rsidRDefault="00DA638F" w:rsidP="006954E5">
      <w:pPr>
        <w:jc w:val="both"/>
        <w:rPr>
          <w:rFonts w:ascii="DINPro-Regular" w:hAnsi="DINPro-Regular"/>
          <w:sz w:val="20"/>
          <w:szCs w:val="20"/>
        </w:rPr>
      </w:pPr>
      <w:r>
        <w:rPr>
          <w:rFonts w:ascii="DINPro-Regular" w:hAnsi="DINPro-Regular"/>
          <w:sz w:val="20"/>
          <w:szCs w:val="20"/>
        </w:rPr>
        <w:t xml:space="preserve">2015-ben új lendületet kaphat az energiahatékonyság két olyan </w:t>
      </w:r>
      <w:r w:rsidR="00447F4E">
        <w:rPr>
          <w:rFonts w:ascii="DINPro-Regular" w:hAnsi="DINPro-Regular"/>
          <w:sz w:val="20"/>
          <w:szCs w:val="20"/>
        </w:rPr>
        <w:t xml:space="preserve">szabályozáscsomagnak </w:t>
      </w:r>
      <w:r>
        <w:rPr>
          <w:rFonts w:ascii="DINPro-Regular" w:hAnsi="DINPro-Regular"/>
          <w:sz w:val="20"/>
          <w:szCs w:val="20"/>
        </w:rPr>
        <w:t xml:space="preserve">köszönhetően, mely uniós tagságunkból fakad, de egyben mindannyiunk közös érdeke is. </w:t>
      </w:r>
    </w:p>
    <w:p w:rsidR="00D50A70" w:rsidRDefault="00D50A70" w:rsidP="00D50A70">
      <w:pPr>
        <w:jc w:val="both"/>
        <w:rPr>
          <w:rFonts w:ascii="DINPro-Regular" w:eastAsiaTheme="minorHAnsi" w:hAnsi="DINPro-Regular" w:cstheme="minorBidi"/>
          <w:sz w:val="20"/>
          <w:szCs w:val="20"/>
          <w:lang w:eastAsia="en-US"/>
        </w:rPr>
      </w:pPr>
    </w:p>
    <w:p w:rsidR="00F12D35" w:rsidRPr="00A707E6" w:rsidRDefault="001C4E74" w:rsidP="00204030">
      <w:pPr>
        <w:pStyle w:val="Listaszerbekezds"/>
        <w:numPr>
          <w:ilvl w:val="1"/>
          <w:numId w:val="19"/>
        </w:numPr>
        <w:jc w:val="both"/>
        <w:rPr>
          <w:rFonts w:ascii="DINPro-Regular" w:hAnsi="DINPro-Regular"/>
          <w:b/>
          <w:sz w:val="20"/>
          <w:szCs w:val="20"/>
        </w:rPr>
      </w:pPr>
      <w:r w:rsidRPr="00A707E6">
        <w:rPr>
          <w:rFonts w:ascii="DINPro-Regular" w:hAnsi="DINPro-Regular"/>
          <w:b/>
          <w:sz w:val="20"/>
          <w:szCs w:val="20"/>
        </w:rPr>
        <w:t xml:space="preserve">Új </w:t>
      </w:r>
      <w:r w:rsidR="003836D5" w:rsidRPr="00A707E6">
        <w:rPr>
          <w:rFonts w:ascii="DINPro-Regular" w:hAnsi="DINPro-Regular"/>
          <w:b/>
          <w:sz w:val="20"/>
          <w:szCs w:val="20"/>
        </w:rPr>
        <w:t xml:space="preserve">rendeletek </w:t>
      </w:r>
      <w:r w:rsidRPr="00A707E6">
        <w:rPr>
          <w:rFonts w:ascii="DINPro-Regular" w:hAnsi="DINPro-Regular"/>
          <w:b/>
          <w:sz w:val="20"/>
          <w:szCs w:val="20"/>
        </w:rPr>
        <w:t xml:space="preserve">a falak, ablakok megengedhető </w:t>
      </w:r>
      <w:proofErr w:type="spellStart"/>
      <w:r w:rsidRPr="00A707E6">
        <w:rPr>
          <w:rFonts w:ascii="DINPro-Regular" w:hAnsi="DINPro-Regular"/>
          <w:b/>
          <w:sz w:val="20"/>
          <w:szCs w:val="20"/>
        </w:rPr>
        <w:t>hőveszteségére</w:t>
      </w:r>
      <w:proofErr w:type="spellEnd"/>
    </w:p>
    <w:p w:rsidR="007C3550" w:rsidRPr="007C3550" w:rsidRDefault="007C3550" w:rsidP="007C3550">
      <w:pPr>
        <w:jc w:val="both"/>
        <w:rPr>
          <w:rFonts w:ascii="DINPro-Regular" w:hAnsi="DINPro-Regular"/>
          <w:sz w:val="20"/>
          <w:szCs w:val="20"/>
        </w:rPr>
      </w:pPr>
    </w:p>
    <w:p w:rsidR="00CF0648" w:rsidRDefault="00CF0648" w:rsidP="00CF0648">
      <w:pPr>
        <w:contextualSpacing/>
        <w:jc w:val="both"/>
        <w:outlineLvl w:val="0"/>
        <w:rPr>
          <w:rFonts w:ascii="DINPro-Regular" w:hAnsi="DINPro-Regular"/>
          <w:bCs/>
          <w:sz w:val="20"/>
          <w:szCs w:val="20"/>
        </w:rPr>
      </w:pPr>
      <w:bookmarkStart w:id="0" w:name="_Toc406496849"/>
      <w:bookmarkStart w:id="1" w:name="_Toc406496978"/>
      <w:r w:rsidRPr="00653568">
        <w:rPr>
          <w:rFonts w:ascii="DINPro-Regular" w:hAnsi="DINPro-Regular"/>
          <w:bCs/>
          <w:sz w:val="20"/>
          <w:szCs w:val="20"/>
        </w:rPr>
        <w:t>2015. január elsejétől</w:t>
      </w:r>
      <w:r>
        <w:rPr>
          <w:rFonts w:ascii="DINPro-Regular" w:hAnsi="DINPro-Regular"/>
          <w:bCs/>
          <w:sz w:val="20"/>
          <w:szCs w:val="20"/>
        </w:rPr>
        <w:t xml:space="preserve"> </w:t>
      </w:r>
      <w:r w:rsidRPr="00653568">
        <w:rPr>
          <w:rFonts w:ascii="DINPro-Regular" w:hAnsi="DINPro-Regular"/>
          <w:bCs/>
          <w:sz w:val="20"/>
          <w:szCs w:val="20"/>
        </w:rPr>
        <w:t>a közpénz</w:t>
      </w:r>
      <w:r>
        <w:rPr>
          <w:rFonts w:ascii="DINPro-Regular" w:hAnsi="DINPro-Regular"/>
          <w:bCs/>
          <w:sz w:val="20"/>
          <w:szCs w:val="20"/>
        </w:rPr>
        <w:t>ek</w:t>
      </w:r>
      <w:r w:rsidRPr="00653568">
        <w:rPr>
          <w:rFonts w:ascii="DINPro-Regular" w:hAnsi="DINPro-Regular"/>
          <w:bCs/>
          <w:sz w:val="20"/>
          <w:szCs w:val="20"/>
        </w:rPr>
        <w:t xml:space="preserve"> </w:t>
      </w:r>
      <w:r>
        <w:rPr>
          <w:rFonts w:ascii="DINPro-Regular" w:hAnsi="DINPro-Regular"/>
          <w:bCs/>
          <w:sz w:val="20"/>
          <w:szCs w:val="20"/>
        </w:rPr>
        <w:t xml:space="preserve">bevonásával megvalósuló új építésekre, épületbővítésekre és meglevő épületek energia-megtakarítási célú felújítására is </w:t>
      </w:r>
      <w:r w:rsidR="001C4E74">
        <w:rPr>
          <w:rFonts w:ascii="DINPro-Regular" w:hAnsi="DINPro-Regular"/>
          <w:bCs/>
          <w:sz w:val="20"/>
          <w:szCs w:val="20"/>
        </w:rPr>
        <w:t xml:space="preserve">magasabb </w:t>
      </w:r>
      <w:r>
        <w:rPr>
          <w:rFonts w:ascii="DINPro-Regular" w:hAnsi="DINPro-Regular"/>
          <w:bCs/>
          <w:sz w:val="20"/>
          <w:szCs w:val="20"/>
        </w:rPr>
        <w:t>energetikai követelményeket</w:t>
      </w:r>
      <w:r>
        <w:rPr>
          <w:rStyle w:val="Lbjegyzet-hivatkozs"/>
          <w:rFonts w:ascii="DINPro-Regular" w:hAnsi="DINPro-Regular"/>
          <w:bCs/>
          <w:sz w:val="20"/>
          <w:szCs w:val="20"/>
        </w:rPr>
        <w:footnoteReference w:id="2"/>
      </w:r>
      <w:r>
        <w:rPr>
          <w:rFonts w:ascii="DINPro-Regular" w:hAnsi="DINPro-Regular"/>
          <w:bCs/>
          <w:sz w:val="20"/>
          <w:szCs w:val="20"/>
        </w:rPr>
        <w:t xml:space="preserve"> kell majd alkalmazni. Közpénznek számít minden hazai és uniós forrás is, így ez hatással lesz az összes államilag támogatott lakossági és vállalati energiahatékonysági programra.</w:t>
      </w:r>
      <w:bookmarkEnd w:id="0"/>
      <w:bookmarkEnd w:id="1"/>
      <w:r>
        <w:rPr>
          <w:rFonts w:ascii="DINPro-Regular" w:hAnsi="DINPro-Regular"/>
          <w:bCs/>
          <w:sz w:val="20"/>
          <w:szCs w:val="20"/>
        </w:rPr>
        <w:t xml:space="preserve"> </w:t>
      </w:r>
    </w:p>
    <w:p w:rsidR="007C3550" w:rsidRDefault="00CF0648" w:rsidP="007C3550">
      <w:pPr>
        <w:jc w:val="both"/>
        <w:rPr>
          <w:rFonts w:ascii="DINPro-Regular" w:hAnsi="DINPro-Regular"/>
          <w:bCs/>
          <w:sz w:val="20"/>
          <w:szCs w:val="20"/>
        </w:rPr>
      </w:pPr>
      <w:r>
        <w:rPr>
          <w:rFonts w:ascii="DINPro-Regular" w:hAnsi="DINPro-Regular"/>
          <w:bCs/>
          <w:sz w:val="20"/>
          <w:szCs w:val="20"/>
        </w:rPr>
        <w:t xml:space="preserve">Mit jelent ez a gyakorlatban? </w:t>
      </w:r>
      <w:r w:rsidRPr="00653568">
        <w:rPr>
          <w:rFonts w:ascii="DINPro-Regular" w:hAnsi="DINPro-Regular"/>
          <w:bCs/>
          <w:sz w:val="20"/>
          <w:szCs w:val="20"/>
        </w:rPr>
        <w:t>A</w:t>
      </w:r>
      <w:r w:rsidR="001C4E74">
        <w:rPr>
          <w:rFonts w:ascii="DINPro-Regular" w:hAnsi="DINPro-Regular"/>
          <w:bCs/>
          <w:sz w:val="20"/>
          <w:szCs w:val="20"/>
        </w:rPr>
        <w:t>z új szabványok szerint</w:t>
      </w:r>
      <w:r w:rsidR="00C04D4D">
        <w:rPr>
          <w:rFonts w:ascii="DINPro-Regular" w:hAnsi="DINPro-Regular"/>
          <w:bCs/>
          <w:sz w:val="20"/>
          <w:szCs w:val="20"/>
        </w:rPr>
        <w:t xml:space="preserve"> </w:t>
      </w:r>
      <w:r w:rsidRPr="00653568">
        <w:rPr>
          <w:rFonts w:ascii="DINPro-Regular" w:hAnsi="DINPro-Regular"/>
          <w:bCs/>
          <w:sz w:val="20"/>
          <w:szCs w:val="20"/>
        </w:rPr>
        <w:t>a</w:t>
      </w:r>
      <w:r w:rsidR="001C4E74">
        <w:rPr>
          <w:rFonts w:ascii="DINPro-Regular" w:hAnsi="DINPro-Regular"/>
          <w:bCs/>
          <w:sz w:val="20"/>
          <w:szCs w:val="20"/>
        </w:rPr>
        <w:t xml:space="preserve">z elvárt minimális </w:t>
      </w:r>
      <w:r w:rsidRPr="00653568">
        <w:rPr>
          <w:rFonts w:ascii="DINPro-Regular" w:hAnsi="DINPro-Regular"/>
          <w:bCs/>
          <w:sz w:val="20"/>
          <w:szCs w:val="20"/>
        </w:rPr>
        <w:t>hő-átbocsátási tényezők</w:t>
      </w:r>
      <w:r>
        <w:rPr>
          <w:rFonts w:ascii="DINPro-Regular" w:hAnsi="DINPro-Regular"/>
          <w:bCs/>
          <w:sz w:val="20"/>
          <w:szCs w:val="20"/>
        </w:rPr>
        <w:t xml:space="preserve"> szigorodnak</w:t>
      </w:r>
      <w:r w:rsidRPr="00653568">
        <w:rPr>
          <w:rFonts w:ascii="DINPro-Regular" w:hAnsi="DINPro-Regular"/>
          <w:bCs/>
          <w:sz w:val="20"/>
          <w:szCs w:val="20"/>
        </w:rPr>
        <w:t>, a falaknak,</w:t>
      </w:r>
      <w:r>
        <w:rPr>
          <w:rFonts w:ascii="DINPro-Regular" w:hAnsi="DINPro-Regular"/>
          <w:bCs/>
          <w:sz w:val="20"/>
          <w:szCs w:val="20"/>
        </w:rPr>
        <w:t xml:space="preserve"> </w:t>
      </w:r>
      <w:r w:rsidRPr="00653568">
        <w:rPr>
          <w:rFonts w:ascii="DINPro-Regular" w:hAnsi="DINPro-Regular"/>
          <w:bCs/>
          <w:sz w:val="20"/>
          <w:szCs w:val="20"/>
        </w:rPr>
        <w:t>nyílászáróknak</w:t>
      </w:r>
      <w:r>
        <w:rPr>
          <w:rFonts w:ascii="DINPro-Regular" w:hAnsi="DINPro-Regular"/>
          <w:bCs/>
          <w:sz w:val="20"/>
          <w:szCs w:val="20"/>
        </w:rPr>
        <w:t>, födémnek</w:t>
      </w:r>
      <w:r w:rsidRPr="00653568">
        <w:rPr>
          <w:rFonts w:ascii="DINPro-Regular" w:hAnsi="DINPro-Regular"/>
          <w:bCs/>
          <w:sz w:val="20"/>
          <w:szCs w:val="20"/>
        </w:rPr>
        <w:t xml:space="preserve"> a m</w:t>
      </w:r>
      <w:r w:rsidR="00C04D4D">
        <w:rPr>
          <w:rFonts w:ascii="DINPro-Regular" w:hAnsi="DINPro-Regular"/>
          <w:bCs/>
          <w:sz w:val="20"/>
          <w:szCs w:val="20"/>
        </w:rPr>
        <w:t xml:space="preserve">ost szabványos </w:t>
      </w:r>
      <w:r w:rsidRPr="00653568">
        <w:rPr>
          <w:rFonts w:ascii="DINPro-Regular" w:hAnsi="DINPro-Regular"/>
          <w:bCs/>
          <w:sz w:val="20"/>
          <w:szCs w:val="20"/>
        </w:rPr>
        <w:t xml:space="preserve">értékeknél </w:t>
      </w:r>
      <w:r w:rsidR="00A707E6">
        <w:rPr>
          <w:rFonts w:ascii="DINPro-Regular" w:hAnsi="DINPro-Regular"/>
          <w:bCs/>
          <w:sz w:val="20"/>
          <w:szCs w:val="20"/>
        </w:rPr>
        <w:t xml:space="preserve">kb. </w:t>
      </w:r>
      <w:r w:rsidRPr="00653568">
        <w:rPr>
          <w:rFonts w:ascii="DINPro-Regular" w:hAnsi="DINPro-Regular"/>
          <w:bCs/>
          <w:sz w:val="20"/>
          <w:szCs w:val="20"/>
        </w:rPr>
        <w:t>40</w:t>
      </w:r>
      <w:r w:rsidR="00A707E6">
        <w:rPr>
          <w:rFonts w:ascii="DINPro-Regular" w:hAnsi="DINPro-Regular"/>
          <w:bCs/>
          <w:sz w:val="20"/>
          <w:szCs w:val="20"/>
        </w:rPr>
        <w:t>%</w:t>
      </w:r>
      <w:r>
        <w:rPr>
          <w:rFonts w:ascii="DINPro-Regular" w:hAnsi="DINPro-Regular"/>
          <w:bCs/>
          <w:sz w:val="20"/>
          <w:szCs w:val="20"/>
        </w:rPr>
        <w:t>-</w:t>
      </w:r>
      <w:r w:rsidRPr="00653568">
        <w:rPr>
          <w:rFonts w:ascii="DINPro-Regular" w:hAnsi="DINPro-Regular"/>
          <w:bCs/>
          <w:sz w:val="20"/>
          <w:szCs w:val="20"/>
        </w:rPr>
        <w:t>kal energiatakarékosabbnak kell lenniük</w:t>
      </w:r>
      <w:r>
        <w:rPr>
          <w:rFonts w:ascii="DINPro-Regular" w:hAnsi="DINPro-Regular"/>
          <w:bCs/>
          <w:sz w:val="20"/>
          <w:szCs w:val="20"/>
        </w:rPr>
        <w:t xml:space="preserve">. </w:t>
      </w:r>
      <w:r w:rsidRPr="009F0656">
        <w:rPr>
          <w:rFonts w:ascii="DINPro-Regular" w:hAnsi="DINPro-Regular"/>
          <w:bCs/>
          <w:sz w:val="20"/>
          <w:szCs w:val="20"/>
        </w:rPr>
        <w:t>A módosításnak köszönhetően az épületek fűtési célú energiafogyasztása akár 25-30%-kal kevesebb lesz</w:t>
      </w:r>
      <w:r>
        <w:rPr>
          <w:rFonts w:ascii="DINPro-Regular" w:hAnsi="DINPro-Regular"/>
          <w:bCs/>
          <w:sz w:val="20"/>
          <w:szCs w:val="20"/>
        </w:rPr>
        <w:t>. Ha felújításról beszélünk, a szigorítás miatt a falak és födém szigetelése legalább 5 cm-rel kell</w:t>
      </w:r>
      <w:r w:rsidR="001C4E74">
        <w:rPr>
          <w:rFonts w:ascii="DINPro-Regular" w:hAnsi="DINPro-Regular"/>
          <w:bCs/>
          <w:sz w:val="20"/>
          <w:szCs w:val="20"/>
        </w:rPr>
        <w:t xml:space="preserve">, hogy </w:t>
      </w:r>
      <w:r>
        <w:rPr>
          <w:rFonts w:ascii="DINPro-Regular" w:hAnsi="DINPro-Regular"/>
          <w:bCs/>
          <w:sz w:val="20"/>
          <w:szCs w:val="20"/>
        </w:rPr>
        <w:t xml:space="preserve">vastagodjon a mai </w:t>
      </w:r>
      <w:r w:rsidR="001C4E74">
        <w:rPr>
          <w:rFonts w:ascii="DINPro-Regular" w:hAnsi="DINPro-Regular"/>
          <w:bCs/>
          <w:sz w:val="20"/>
          <w:szCs w:val="20"/>
        </w:rPr>
        <w:t>minimumhoz</w:t>
      </w:r>
      <w:r>
        <w:rPr>
          <w:rFonts w:ascii="DINPro-Regular" w:hAnsi="DINPro-Regular"/>
          <w:bCs/>
          <w:sz w:val="20"/>
          <w:szCs w:val="20"/>
        </w:rPr>
        <w:t xml:space="preserve"> képest, </w:t>
      </w:r>
      <w:r w:rsidR="001C4E74">
        <w:rPr>
          <w:rFonts w:ascii="DINPro-Regular" w:hAnsi="DINPro-Regular"/>
          <w:bCs/>
          <w:sz w:val="20"/>
          <w:szCs w:val="20"/>
        </w:rPr>
        <w:t xml:space="preserve">az ablakok </w:t>
      </w:r>
      <w:r w:rsidR="00C04D4D">
        <w:rPr>
          <w:rFonts w:ascii="DINPro-Regular" w:hAnsi="DINPro-Regular"/>
          <w:bCs/>
          <w:sz w:val="20"/>
          <w:szCs w:val="20"/>
        </w:rPr>
        <w:t>esetében pedig csak három</w:t>
      </w:r>
      <w:r>
        <w:rPr>
          <w:rFonts w:ascii="DINPro-Regular" w:hAnsi="DINPro-Regular"/>
          <w:bCs/>
          <w:sz w:val="20"/>
          <w:szCs w:val="20"/>
        </w:rPr>
        <w:t xml:space="preserve">rétegű üvegezéssel lehet a szigorított energetikai követelményt teljesíteni. </w:t>
      </w:r>
    </w:p>
    <w:p w:rsidR="00C04D4D" w:rsidRDefault="00C04D4D" w:rsidP="007C3550">
      <w:pPr>
        <w:jc w:val="both"/>
        <w:rPr>
          <w:rFonts w:ascii="DINPro-Regular" w:hAnsi="DINPro-Regular"/>
          <w:bCs/>
          <w:sz w:val="20"/>
          <w:szCs w:val="20"/>
        </w:rPr>
      </w:pPr>
    </w:p>
    <w:p w:rsidR="00C01C39" w:rsidRPr="00204030" w:rsidRDefault="00C01C39" w:rsidP="00204030">
      <w:pPr>
        <w:pStyle w:val="Listaszerbekezds"/>
        <w:numPr>
          <w:ilvl w:val="1"/>
          <w:numId w:val="19"/>
        </w:numPr>
        <w:jc w:val="both"/>
        <w:rPr>
          <w:rFonts w:ascii="DINPro-Regular" w:hAnsi="DINPro-Regular"/>
          <w:b/>
          <w:sz w:val="20"/>
          <w:szCs w:val="20"/>
        </w:rPr>
      </w:pPr>
      <w:r w:rsidRPr="00204030">
        <w:rPr>
          <w:rFonts w:ascii="DINPro-Regular" w:hAnsi="DINPro-Regular"/>
          <w:b/>
          <w:sz w:val="20"/>
          <w:szCs w:val="20"/>
        </w:rPr>
        <w:t>Uniós rendelet</w:t>
      </w:r>
      <w:r w:rsidR="00BA40BD">
        <w:rPr>
          <w:rFonts w:ascii="DINPro-Regular" w:hAnsi="DINPro-Regular"/>
          <w:b/>
          <w:sz w:val="20"/>
          <w:szCs w:val="20"/>
        </w:rPr>
        <w:t>ek</w:t>
      </w:r>
      <w:r w:rsidR="001C4E74" w:rsidRPr="00204030">
        <w:rPr>
          <w:rFonts w:ascii="DINPro-Regular" w:hAnsi="DINPro-Regular"/>
          <w:b/>
          <w:sz w:val="20"/>
          <w:szCs w:val="20"/>
        </w:rPr>
        <w:t xml:space="preserve"> a</w:t>
      </w:r>
      <w:r w:rsidRPr="00204030">
        <w:rPr>
          <w:rFonts w:ascii="DINPro-Regular" w:hAnsi="DINPro-Regular"/>
          <w:b/>
          <w:sz w:val="20"/>
          <w:szCs w:val="20"/>
        </w:rPr>
        <w:t xml:space="preserve"> fűtő</w:t>
      </w:r>
      <w:r w:rsidR="003836D5">
        <w:rPr>
          <w:rFonts w:ascii="DINPro-Regular" w:hAnsi="DINPro-Regular"/>
          <w:b/>
          <w:sz w:val="20"/>
          <w:szCs w:val="20"/>
        </w:rPr>
        <w:t>-</w:t>
      </w:r>
      <w:r w:rsidRPr="00204030">
        <w:rPr>
          <w:rFonts w:ascii="DINPro-Regular" w:hAnsi="DINPro-Regular"/>
          <w:b/>
          <w:sz w:val="20"/>
          <w:szCs w:val="20"/>
        </w:rPr>
        <w:t xml:space="preserve"> és vízmelegítő </w:t>
      </w:r>
      <w:r w:rsidR="001C4E74" w:rsidRPr="00204030">
        <w:rPr>
          <w:rFonts w:ascii="DINPro-Regular" w:hAnsi="DINPro-Regular"/>
          <w:b/>
          <w:sz w:val="20"/>
          <w:szCs w:val="20"/>
        </w:rPr>
        <w:t>berendezések hatékonysági követelményeiről</w:t>
      </w:r>
    </w:p>
    <w:p w:rsidR="007C3550" w:rsidRPr="007C3550" w:rsidRDefault="007C3550" w:rsidP="007C3550">
      <w:pPr>
        <w:jc w:val="both"/>
        <w:rPr>
          <w:rFonts w:ascii="DINPro-Regular" w:hAnsi="DINPro-Regular"/>
          <w:b/>
          <w:sz w:val="20"/>
          <w:szCs w:val="20"/>
        </w:rPr>
      </w:pPr>
    </w:p>
    <w:p w:rsidR="002064BB" w:rsidRPr="002064BB" w:rsidRDefault="002064BB" w:rsidP="002064BB">
      <w:pPr>
        <w:jc w:val="both"/>
        <w:rPr>
          <w:rFonts w:ascii="DINPro-Regular" w:hAnsi="DINPro-Regular"/>
          <w:bCs/>
          <w:sz w:val="20"/>
          <w:szCs w:val="20"/>
        </w:rPr>
      </w:pPr>
      <w:r w:rsidRPr="002064BB">
        <w:rPr>
          <w:rFonts w:ascii="DINPro-Regular" w:hAnsi="DINPro-Regular"/>
          <w:bCs/>
          <w:sz w:val="20"/>
          <w:szCs w:val="20"/>
        </w:rPr>
        <w:t>Az EU 2009/125/EK irányelvében megfogalmazott energiahatékonysági és környezetvédelmi céljainak teljesítése érdekében megjelent EU rendeletek</w:t>
      </w:r>
      <w:r>
        <w:rPr>
          <w:rStyle w:val="Lbjegyzet-hivatkozs"/>
          <w:rFonts w:ascii="DINPro-Regular" w:hAnsi="DINPro-Regular"/>
          <w:bCs/>
          <w:sz w:val="20"/>
          <w:szCs w:val="20"/>
        </w:rPr>
        <w:footnoteReference w:id="3"/>
      </w:r>
      <w:r w:rsidRPr="002064BB">
        <w:rPr>
          <w:rFonts w:ascii="DINPro-Regular" w:hAnsi="DINPro-Regular"/>
          <w:bCs/>
          <w:sz w:val="20"/>
          <w:szCs w:val="20"/>
        </w:rPr>
        <w:t xml:space="preserve"> és tervezetek alapvető változásokat hoznak az EU tagállamaiban.  Az új előírások 2018 szeptemberéig több fokozatban lépnek hatályba és az európai szabványokban foglaltaknál lényegesen szigorúbb követelményeket támasztanak. A változások nemcsak az energia-átalakító berendezéseket, a gáz, olaj és szilárd tüzelésű, valamint elektromos kályhákat, kazánokat, légkondicionálókat, hőszivattyúval, vagy napkollektorokkal kombinált berendezéseket érintik, hanem kiterjednek a berendezéseket kiszolgáló épületszerkezetekre</w:t>
      </w:r>
      <w:r w:rsidR="00C04D4D">
        <w:rPr>
          <w:rFonts w:ascii="DINPro-Regular" w:hAnsi="DINPro-Regular"/>
          <w:bCs/>
          <w:sz w:val="20"/>
          <w:szCs w:val="20"/>
        </w:rPr>
        <w:t>, pl. kémény</w:t>
      </w:r>
      <w:r w:rsidR="00BA40BD">
        <w:rPr>
          <w:rFonts w:ascii="DINPro-Regular" w:hAnsi="DINPro-Regular"/>
          <w:bCs/>
          <w:sz w:val="20"/>
          <w:szCs w:val="20"/>
        </w:rPr>
        <w:t>re</w:t>
      </w:r>
      <w:r w:rsidR="00C04D4D">
        <w:rPr>
          <w:rFonts w:ascii="DINPro-Regular" w:hAnsi="DINPro-Regular"/>
          <w:bCs/>
          <w:sz w:val="20"/>
          <w:szCs w:val="20"/>
        </w:rPr>
        <w:t xml:space="preserve"> </w:t>
      </w:r>
      <w:r w:rsidRPr="002064BB">
        <w:rPr>
          <w:rFonts w:ascii="DINPro-Regular" w:hAnsi="DINPro-Regular"/>
          <w:bCs/>
          <w:sz w:val="20"/>
          <w:szCs w:val="20"/>
        </w:rPr>
        <w:t>is.</w:t>
      </w:r>
    </w:p>
    <w:p w:rsidR="00D50A70" w:rsidRPr="00F42F5B" w:rsidRDefault="002064BB" w:rsidP="00D50A70">
      <w:pPr>
        <w:jc w:val="both"/>
        <w:rPr>
          <w:rFonts w:ascii="DINPro-Regular" w:hAnsi="DINPro-Regular"/>
          <w:bCs/>
          <w:sz w:val="20"/>
          <w:szCs w:val="20"/>
        </w:rPr>
      </w:pPr>
      <w:r w:rsidRPr="00F42F5B">
        <w:rPr>
          <w:rFonts w:ascii="DINPro-Regular" w:hAnsi="DINPro-Regular"/>
          <w:bCs/>
          <w:sz w:val="20"/>
          <w:szCs w:val="20"/>
        </w:rPr>
        <w:t xml:space="preserve">Első lépésként 2015. szeptember 26. után nem hozhatók forgalomba azon helyiségfűtő berendezések és a kombinált fűtőberendezések, valamint vízmelegítők és a melegvíz-tároló tartályok, melyek nem érik el a 813/2013/EU és a 814/2013/EU rendeletek szerinti </w:t>
      </w:r>
      <w:r w:rsidR="003836D5" w:rsidRPr="00F42F5B">
        <w:rPr>
          <w:rFonts w:ascii="DINPro-Regular" w:hAnsi="DINPro-Regular"/>
          <w:bCs/>
          <w:sz w:val="20"/>
          <w:szCs w:val="20"/>
        </w:rPr>
        <w:t xml:space="preserve">szezonális </w:t>
      </w:r>
      <w:r w:rsidRPr="00F42F5B">
        <w:rPr>
          <w:rFonts w:ascii="DINPro-Regular" w:hAnsi="DINPro-Regular"/>
          <w:bCs/>
          <w:sz w:val="20"/>
          <w:szCs w:val="20"/>
        </w:rPr>
        <w:t>hatásfokot és hangteljesítmény-szintet. Az EU rendeletek</w:t>
      </w:r>
      <w:r w:rsidR="002B11AB" w:rsidRPr="00F42F5B">
        <w:rPr>
          <w:rFonts w:ascii="DINPro-Regular" w:hAnsi="DINPro-Regular"/>
          <w:bCs/>
          <w:sz w:val="20"/>
          <w:szCs w:val="20"/>
        </w:rPr>
        <w:t xml:space="preserve"> (nem úgy, mint a köztudatban ismertebb irányelvek)</w:t>
      </w:r>
      <w:r w:rsidRPr="00F42F5B">
        <w:rPr>
          <w:rFonts w:ascii="DINPro-Regular" w:hAnsi="DINPro-Regular"/>
          <w:bCs/>
          <w:sz w:val="20"/>
          <w:szCs w:val="20"/>
        </w:rPr>
        <w:t xml:space="preserve"> </w:t>
      </w:r>
      <w:r w:rsidR="002B11AB" w:rsidRPr="00F42F5B">
        <w:rPr>
          <w:rFonts w:ascii="DINPro-Regular" w:hAnsi="DINPro-Regular"/>
          <w:bCs/>
          <w:sz w:val="20"/>
          <w:szCs w:val="20"/>
        </w:rPr>
        <w:t xml:space="preserve">külön hazai átvétel </w:t>
      </w:r>
      <w:r w:rsidRPr="00F42F5B">
        <w:rPr>
          <w:rFonts w:ascii="DINPro-Regular" w:hAnsi="DINPro-Regular"/>
          <w:bCs/>
          <w:sz w:val="20"/>
          <w:szCs w:val="20"/>
        </w:rPr>
        <w:t>nélkül</w:t>
      </w:r>
      <w:r w:rsidR="002B11AB" w:rsidRPr="00F42F5B">
        <w:rPr>
          <w:rFonts w:ascii="DINPro-Regular" w:hAnsi="DINPro-Regular"/>
          <w:bCs/>
          <w:sz w:val="20"/>
          <w:szCs w:val="20"/>
        </w:rPr>
        <w:t>, közvetlenül</w:t>
      </w:r>
      <w:r w:rsidRPr="00F42F5B">
        <w:rPr>
          <w:rFonts w:ascii="DINPro-Regular" w:hAnsi="DINPro-Regular"/>
          <w:bCs/>
          <w:sz w:val="20"/>
          <w:szCs w:val="20"/>
        </w:rPr>
        <w:t xml:space="preserve"> hatályosak</w:t>
      </w:r>
      <w:r w:rsidR="002B11AB" w:rsidRPr="00F42F5B">
        <w:rPr>
          <w:rFonts w:ascii="DINPro-Regular" w:hAnsi="DINPro-Regular"/>
          <w:bCs/>
          <w:sz w:val="20"/>
          <w:szCs w:val="20"/>
        </w:rPr>
        <w:t xml:space="preserve">, bár a szabályok betartatásáról a magyar Kormánynak kell gondoskodnia. </w:t>
      </w:r>
    </w:p>
    <w:p w:rsidR="00D50A70" w:rsidRDefault="00D50A70" w:rsidP="00D50A70">
      <w:pPr>
        <w:jc w:val="both"/>
        <w:rPr>
          <w:rFonts w:ascii="DINPro-Regular" w:hAnsi="DINPro-Regular"/>
          <w:bCs/>
          <w:sz w:val="20"/>
          <w:szCs w:val="20"/>
        </w:rPr>
      </w:pPr>
    </w:p>
    <w:p w:rsidR="00855884" w:rsidRDefault="00855884" w:rsidP="00D50A70">
      <w:pPr>
        <w:jc w:val="both"/>
        <w:rPr>
          <w:rFonts w:ascii="DINPro-Regular" w:hAnsi="DINPro-Regular"/>
          <w:bCs/>
          <w:sz w:val="20"/>
          <w:szCs w:val="20"/>
        </w:rPr>
      </w:pPr>
    </w:p>
    <w:p w:rsidR="002064BB" w:rsidRPr="00204030" w:rsidRDefault="002064BB" w:rsidP="00204030">
      <w:pPr>
        <w:pStyle w:val="Listaszerbekezds"/>
        <w:numPr>
          <w:ilvl w:val="1"/>
          <w:numId w:val="19"/>
        </w:numPr>
        <w:jc w:val="both"/>
        <w:rPr>
          <w:rFonts w:ascii="DINPro-Regular" w:hAnsi="DINPro-Regular" w:cs="Times New Roman"/>
          <w:bCs/>
          <w:sz w:val="20"/>
          <w:szCs w:val="20"/>
        </w:rPr>
      </w:pPr>
      <w:r w:rsidRPr="00204030">
        <w:rPr>
          <w:rFonts w:ascii="DINPro-Regular" w:hAnsi="DINPro-Regular" w:cs="Arial"/>
          <w:b/>
          <w:color w:val="222222"/>
          <w:sz w:val="20"/>
          <w:szCs w:val="20"/>
          <w:shd w:val="clear" w:color="auto" w:fill="FFFFFF"/>
        </w:rPr>
        <w:t>A magyar piac eloszlása tüzeléstechnika szempontból</w:t>
      </w:r>
      <w:r w:rsidRPr="007C3550">
        <w:rPr>
          <w:rStyle w:val="Lbjegyzet-hivatkozs"/>
          <w:rFonts w:ascii="DINPro-Regular" w:hAnsi="DINPro-Regular" w:cs="Arial"/>
          <w:b/>
          <w:color w:val="222222"/>
          <w:sz w:val="20"/>
          <w:szCs w:val="20"/>
          <w:shd w:val="clear" w:color="auto" w:fill="FFFFFF"/>
        </w:rPr>
        <w:footnoteReference w:id="4"/>
      </w:r>
    </w:p>
    <w:p w:rsidR="002064BB" w:rsidRPr="007C3550" w:rsidRDefault="002064BB" w:rsidP="002064BB">
      <w:pPr>
        <w:spacing w:before="100" w:beforeAutospacing="1" w:after="100" w:afterAutospacing="1"/>
        <w:rPr>
          <w:rFonts w:ascii="DINPro-Regular" w:hAnsi="DINPro-Regular"/>
          <w:bCs/>
          <w:sz w:val="20"/>
          <w:szCs w:val="20"/>
        </w:rPr>
      </w:pPr>
      <w:r w:rsidRPr="007C3550">
        <w:rPr>
          <w:rFonts w:ascii="DINPro-Regular" w:hAnsi="DINPro-Regular"/>
          <w:bCs/>
          <w:sz w:val="20"/>
          <w:szCs w:val="20"/>
        </w:rPr>
        <w:t>A szabályozás - a döntően földgázzal fűtő hazai lakossági szegmensen belül - mintegy 2,6 millió készüléket érint, mely az egyedi fűtéssel rendelkező háztartások 75%-</w:t>
      </w:r>
      <w:proofErr w:type="gramStart"/>
      <w:r w:rsidRPr="007C3550">
        <w:rPr>
          <w:rFonts w:ascii="DINPro-Regular" w:hAnsi="DINPro-Regular"/>
          <w:bCs/>
          <w:sz w:val="20"/>
          <w:szCs w:val="20"/>
        </w:rPr>
        <w:t>a.</w:t>
      </w:r>
      <w:proofErr w:type="gramEnd"/>
    </w:p>
    <w:p w:rsidR="002064BB" w:rsidRDefault="002064BB" w:rsidP="002064BB">
      <w:pPr>
        <w:spacing w:before="100" w:beforeAutospacing="1" w:after="100" w:afterAutospacing="1"/>
        <w:jc w:val="center"/>
        <w:rPr>
          <w:rFonts w:ascii="DINPro-Regular" w:hAnsi="DINPro-Regular"/>
        </w:rPr>
      </w:pPr>
      <w:r>
        <w:rPr>
          <w:rFonts w:ascii="DINPro-Regular" w:hAnsi="DINPro-Regular"/>
          <w:noProof/>
        </w:rPr>
        <w:drawing>
          <wp:inline distT="0" distB="0" distL="0" distR="0">
            <wp:extent cx="4064832" cy="2981325"/>
            <wp:effectExtent l="19050" t="0" r="0" b="0"/>
            <wp:docPr id="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205" cy="2987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4BB" w:rsidRPr="00204030" w:rsidRDefault="002064BB" w:rsidP="00204030">
      <w:pPr>
        <w:pStyle w:val="Listaszerbekezds"/>
        <w:numPr>
          <w:ilvl w:val="2"/>
          <w:numId w:val="20"/>
        </w:numPr>
        <w:rPr>
          <w:rFonts w:ascii="DINPro-Regular" w:hAnsi="DINPro-Regular" w:cs="Arial"/>
          <w:b/>
          <w:color w:val="222222"/>
          <w:sz w:val="20"/>
          <w:szCs w:val="20"/>
          <w:shd w:val="clear" w:color="auto" w:fill="FFFFFF"/>
        </w:rPr>
      </w:pPr>
      <w:r w:rsidRPr="00204030">
        <w:rPr>
          <w:rFonts w:ascii="DINPro-Regular" w:hAnsi="DINPro-Regular" w:cs="Arial"/>
          <w:b/>
          <w:color w:val="222222"/>
          <w:sz w:val="20"/>
          <w:szCs w:val="20"/>
          <w:shd w:val="clear" w:color="auto" w:fill="FFFFFF"/>
        </w:rPr>
        <w:t>Hazai gázkészülék piac</w:t>
      </w:r>
    </w:p>
    <w:p w:rsidR="00263FFB" w:rsidRPr="00263FFB" w:rsidRDefault="00263FFB" w:rsidP="00263FFB">
      <w:pPr>
        <w:rPr>
          <w:rFonts w:ascii="DINPro-Regular" w:hAnsi="DINPro-Regular" w:cs="Arial"/>
          <w:b/>
          <w:color w:val="222222"/>
          <w:sz w:val="20"/>
          <w:szCs w:val="20"/>
          <w:shd w:val="clear" w:color="auto" w:fill="FFFFFF"/>
        </w:rPr>
      </w:pPr>
    </w:p>
    <w:p w:rsidR="002064BB" w:rsidRPr="007C3550" w:rsidRDefault="002064BB" w:rsidP="002064BB">
      <w:pPr>
        <w:rPr>
          <w:rFonts w:ascii="DINPro-Regular" w:hAnsi="DINPro-Regular"/>
          <w:bCs/>
          <w:sz w:val="20"/>
          <w:szCs w:val="20"/>
        </w:rPr>
      </w:pPr>
      <w:r w:rsidRPr="007C3550">
        <w:rPr>
          <w:rFonts w:ascii="DINPro-Regular" w:hAnsi="DINPro-Regular"/>
          <w:bCs/>
          <w:sz w:val="20"/>
          <w:szCs w:val="20"/>
        </w:rPr>
        <w:t xml:space="preserve">- A magyar </w:t>
      </w:r>
      <w:r w:rsidR="000A5587">
        <w:rPr>
          <w:rFonts w:ascii="DINPro-Regular" w:hAnsi="DINPro-Regular"/>
          <w:bCs/>
          <w:sz w:val="20"/>
          <w:szCs w:val="20"/>
        </w:rPr>
        <w:t xml:space="preserve">fűtőberendezések </w:t>
      </w:r>
      <w:r w:rsidR="001860D6">
        <w:rPr>
          <w:rFonts w:ascii="DINPro-Regular" w:hAnsi="DINPro-Regular"/>
          <w:bCs/>
          <w:sz w:val="20"/>
          <w:szCs w:val="20"/>
        </w:rPr>
        <w:t xml:space="preserve">többsége </w:t>
      </w:r>
      <w:r w:rsidR="000A5587">
        <w:rPr>
          <w:rFonts w:ascii="DINPro-Regular" w:hAnsi="DINPro-Regular"/>
          <w:bCs/>
          <w:sz w:val="20"/>
          <w:szCs w:val="20"/>
        </w:rPr>
        <w:t xml:space="preserve">konvektor vagy </w:t>
      </w:r>
      <w:r w:rsidR="001860D6">
        <w:rPr>
          <w:rFonts w:ascii="DINPro-Regular" w:hAnsi="DINPro-Regular"/>
          <w:bCs/>
          <w:sz w:val="20"/>
          <w:szCs w:val="20"/>
        </w:rPr>
        <w:t>„B” típusú</w:t>
      </w:r>
      <w:r w:rsidR="000A5587" w:rsidRPr="000A5587">
        <w:rPr>
          <w:rFonts w:ascii="DINPro-Regular" w:hAnsi="DINPro-Regular"/>
          <w:bCs/>
          <w:sz w:val="20"/>
          <w:szCs w:val="20"/>
        </w:rPr>
        <w:t xml:space="preserve"> </w:t>
      </w:r>
      <w:r w:rsidR="000A5587" w:rsidRPr="007C3550">
        <w:rPr>
          <w:rFonts w:ascii="DINPro-Regular" w:hAnsi="DINPro-Regular"/>
          <w:bCs/>
          <w:sz w:val="20"/>
          <w:szCs w:val="20"/>
        </w:rPr>
        <w:t>k</w:t>
      </w:r>
      <w:r w:rsidR="000A5587">
        <w:rPr>
          <w:rFonts w:ascii="DINPro-Regular" w:hAnsi="DINPro-Regular"/>
          <w:bCs/>
          <w:sz w:val="20"/>
          <w:szCs w:val="20"/>
        </w:rPr>
        <w:t>észülék</w:t>
      </w:r>
      <w:r w:rsidR="001860D6">
        <w:rPr>
          <w:rFonts w:ascii="DINPro-Regular" w:hAnsi="DINPro-Regular"/>
          <w:bCs/>
          <w:sz w:val="20"/>
          <w:szCs w:val="20"/>
        </w:rPr>
        <w:t>. J</w:t>
      </w:r>
      <w:r w:rsidRPr="007C3550">
        <w:rPr>
          <w:rFonts w:ascii="DINPro-Regular" w:hAnsi="DINPro-Regular"/>
          <w:bCs/>
          <w:sz w:val="20"/>
          <w:szCs w:val="20"/>
        </w:rPr>
        <w:t>ellegzetes „B” típusú gázkészülékek (nyílt égésterű, gravitációs kéménybe kötött):</w:t>
      </w:r>
    </w:p>
    <w:p w:rsidR="002064BB" w:rsidRPr="007C3550" w:rsidRDefault="002064BB" w:rsidP="002064BB">
      <w:pPr>
        <w:pStyle w:val="Listaszerbekezds"/>
        <w:numPr>
          <w:ilvl w:val="0"/>
          <w:numId w:val="7"/>
        </w:numPr>
        <w:spacing w:after="0"/>
        <w:rPr>
          <w:rFonts w:ascii="DINPro-Regular" w:hAnsi="DINPro-Regular"/>
          <w:bCs/>
          <w:sz w:val="20"/>
          <w:szCs w:val="20"/>
        </w:rPr>
      </w:pPr>
      <w:r w:rsidRPr="007C3550">
        <w:rPr>
          <w:rFonts w:ascii="DINPro-Regular" w:hAnsi="DINPro-Regular"/>
          <w:bCs/>
          <w:sz w:val="20"/>
          <w:szCs w:val="20"/>
        </w:rPr>
        <w:t xml:space="preserve">átfolyós vízmelegítő, </w:t>
      </w:r>
    </w:p>
    <w:p w:rsidR="002064BB" w:rsidRPr="007C3550" w:rsidRDefault="002064BB" w:rsidP="002064BB">
      <w:pPr>
        <w:pStyle w:val="Listaszerbekezds"/>
        <w:numPr>
          <w:ilvl w:val="0"/>
          <w:numId w:val="7"/>
        </w:numPr>
        <w:spacing w:after="0"/>
        <w:rPr>
          <w:rFonts w:ascii="DINPro-Regular" w:hAnsi="DINPro-Regular"/>
          <w:bCs/>
          <w:sz w:val="20"/>
          <w:szCs w:val="20"/>
        </w:rPr>
      </w:pPr>
      <w:r w:rsidRPr="007C3550">
        <w:rPr>
          <w:rFonts w:ascii="DINPro-Regular" w:hAnsi="DINPro-Regular"/>
          <w:bCs/>
          <w:sz w:val="20"/>
          <w:szCs w:val="20"/>
        </w:rPr>
        <w:t xml:space="preserve">fali kazán, „cirkó”, </w:t>
      </w:r>
    </w:p>
    <w:p w:rsidR="002064BB" w:rsidRPr="00F42F5B" w:rsidRDefault="002064BB" w:rsidP="002064BB">
      <w:pPr>
        <w:pStyle w:val="Listaszerbekezds"/>
        <w:numPr>
          <w:ilvl w:val="0"/>
          <w:numId w:val="7"/>
        </w:numPr>
        <w:spacing w:after="0"/>
        <w:rPr>
          <w:rFonts w:ascii="DINPro-Regular" w:hAnsi="DINPro-Regular"/>
          <w:bCs/>
          <w:sz w:val="20"/>
          <w:szCs w:val="20"/>
        </w:rPr>
      </w:pPr>
      <w:r w:rsidRPr="00F42F5B">
        <w:rPr>
          <w:rFonts w:ascii="DINPro-Regular" w:hAnsi="DINPro-Regular"/>
          <w:bCs/>
          <w:sz w:val="20"/>
          <w:szCs w:val="20"/>
        </w:rPr>
        <w:t xml:space="preserve">kombinált fűtő- és gázvízmelegítő, </w:t>
      </w:r>
      <w:r w:rsidR="003836D5" w:rsidRPr="00F42F5B">
        <w:rPr>
          <w:rFonts w:ascii="DINPro-Regular" w:hAnsi="DINPro-Regular"/>
          <w:bCs/>
          <w:sz w:val="20"/>
          <w:szCs w:val="20"/>
        </w:rPr>
        <w:t>„kombi-cirkó”</w:t>
      </w:r>
    </w:p>
    <w:p w:rsidR="002064BB" w:rsidRPr="007C3550" w:rsidRDefault="002064BB" w:rsidP="002064BB">
      <w:pPr>
        <w:pStyle w:val="Listaszerbekezds"/>
        <w:numPr>
          <w:ilvl w:val="0"/>
          <w:numId w:val="7"/>
        </w:numPr>
        <w:spacing w:after="0"/>
        <w:rPr>
          <w:rFonts w:ascii="DINPro-Regular" w:hAnsi="DINPro-Regular"/>
          <w:bCs/>
          <w:sz w:val="20"/>
          <w:szCs w:val="20"/>
        </w:rPr>
      </w:pPr>
      <w:r w:rsidRPr="007C3550">
        <w:rPr>
          <w:rFonts w:ascii="DINPro-Regular" w:hAnsi="DINPro-Regular"/>
          <w:bCs/>
          <w:sz w:val="20"/>
          <w:szCs w:val="20"/>
        </w:rPr>
        <w:t xml:space="preserve">álló kazán, </w:t>
      </w:r>
    </w:p>
    <w:p w:rsidR="002064BB" w:rsidRPr="007C3550" w:rsidRDefault="002064BB" w:rsidP="002064BB">
      <w:pPr>
        <w:pStyle w:val="Listaszerbekezds"/>
        <w:numPr>
          <w:ilvl w:val="0"/>
          <w:numId w:val="7"/>
        </w:numPr>
        <w:spacing w:after="0"/>
        <w:rPr>
          <w:rFonts w:ascii="DINPro-Regular" w:hAnsi="DINPro-Regular"/>
          <w:bCs/>
          <w:sz w:val="20"/>
          <w:szCs w:val="20"/>
        </w:rPr>
      </w:pPr>
      <w:r w:rsidRPr="007C3550">
        <w:rPr>
          <w:rFonts w:ascii="DINPro-Regular" w:hAnsi="DINPro-Regular"/>
          <w:bCs/>
          <w:sz w:val="20"/>
          <w:szCs w:val="20"/>
        </w:rPr>
        <w:t xml:space="preserve">kéménybe </w:t>
      </w:r>
      <w:r w:rsidR="003836D5">
        <w:rPr>
          <w:rFonts w:ascii="DINPro-Regular" w:hAnsi="DINPro-Regular"/>
          <w:bCs/>
          <w:sz w:val="20"/>
          <w:szCs w:val="20"/>
        </w:rPr>
        <w:t xml:space="preserve">kötött gázkonvektor, </w:t>
      </w:r>
      <w:proofErr w:type="spellStart"/>
      <w:r w:rsidR="003836D5">
        <w:rPr>
          <w:rFonts w:ascii="DINPro-Regular" w:hAnsi="DINPro-Regular"/>
          <w:bCs/>
          <w:sz w:val="20"/>
          <w:szCs w:val="20"/>
        </w:rPr>
        <w:t>falifűtő</w:t>
      </w:r>
      <w:proofErr w:type="spellEnd"/>
      <w:r w:rsidRPr="007C3550">
        <w:rPr>
          <w:rFonts w:ascii="DINPro-Regular" w:hAnsi="DINPro-Regular"/>
          <w:bCs/>
          <w:sz w:val="20"/>
          <w:szCs w:val="20"/>
        </w:rPr>
        <w:t xml:space="preserve"> </w:t>
      </w:r>
    </w:p>
    <w:p w:rsidR="002064BB" w:rsidRPr="007C3550" w:rsidRDefault="002064BB" w:rsidP="002064BB">
      <w:pPr>
        <w:rPr>
          <w:rFonts w:ascii="DINPro-Regular" w:hAnsi="DINPro-Regular"/>
          <w:bCs/>
          <w:sz w:val="20"/>
          <w:szCs w:val="20"/>
        </w:rPr>
      </w:pPr>
      <w:r w:rsidRPr="007C3550">
        <w:rPr>
          <w:rFonts w:ascii="DINPro-Regular" w:hAnsi="DINPro-Regular"/>
          <w:bCs/>
          <w:sz w:val="20"/>
          <w:szCs w:val="20"/>
        </w:rPr>
        <w:t xml:space="preserve">- </w:t>
      </w:r>
      <w:r w:rsidR="00657BDA">
        <w:rPr>
          <w:rFonts w:ascii="DINPro-Regular" w:hAnsi="DINPro-Regular"/>
          <w:bCs/>
          <w:sz w:val="20"/>
          <w:szCs w:val="20"/>
        </w:rPr>
        <w:t xml:space="preserve">A hazai állomány </w:t>
      </w:r>
      <w:r w:rsidR="002B11AB">
        <w:rPr>
          <w:rFonts w:ascii="DINPro-Regular" w:hAnsi="DINPro-Regular"/>
          <w:bCs/>
          <w:sz w:val="20"/>
          <w:szCs w:val="20"/>
        </w:rPr>
        <w:t>átlagé</w:t>
      </w:r>
      <w:r w:rsidRPr="007C3550">
        <w:rPr>
          <w:rFonts w:ascii="DINPro-Regular" w:hAnsi="DINPro-Regular"/>
          <w:bCs/>
          <w:sz w:val="20"/>
          <w:szCs w:val="20"/>
        </w:rPr>
        <w:t>letkor</w:t>
      </w:r>
      <w:r w:rsidR="002B11AB">
        <w:rPr>
          <w:rFonts w:ascii="DINPro-Regular" w:hAnsi="DINPro-Regular"/>
          <w:bCs/>
          <w:sz w:val="20"/>
          <w:szCs w:val="20"/>
        </w:rPr>
        <w:t>a</w:t>
      </w:r>
      <w:r w:rsidRPr="007C3550">
        <w:rPr>
          <w:rFonts w:ascii="DINPro-Regular" w:hAnsi="DINPro-Regular"/>
          <w:bCs/>
          <w:sz w:val="20"/>
          <w:szCs w:val="20"/>
        </w:rPr>
        <w:t xml:space="preserve"> meghaladja a </w:t>
      </w:r>
      <w:r w:rsidR="003836D5" w:rsidRPr="00F42F5B">
        <w:rPr>
          <w:rFonts w:ascii="DINPro-Regular" w:hAnsi="DINPro-Regular"/>
          <w:bCs/>
          <w:sz w:val="20"/>
          <w:szCs w:val="20"/>
        </w:rPr>
        <w:t xml:space="preserve">20 </w:t>
      </w:r>
      <w:r w:rsidRPr="007C3550">
        <w:rPr>
          <w:rFonts w:ascii="DINPro-Regular" w:hAnsi="DINPro-Regular"/>
          <w:bCs/>
          <w:sz w:val="20"/>
          <w:szCs w:val="20"/>
        </w:rPr>
        <w:t xml:space="preserve">évet </w:t>
      </w:r>
    </w:p>
    <w:p w:rsidR="002064BB" w:rsidRPr="007C3550" w:rsidRDefault="002064BB" w:rsidP="002064BB">
      <w:pPr>
        <w:rPr>
          <w:rFonts w:ascii="DINPro-Regular" w:hAnsi="DINPro-Regular"/>
          <w:bCs/>
          <w:sz w:val="20"/>
          <w:szCs w:val="20"/>
        </w:rPr>
      </w:pPr>
      <w:r w:rsidRPr="007C3550">
        <w:rPr>
          <w:rFonts w:ascii="DINPro-Regular" w:hAnsi="DINPro-Regular"/>
          <w:bCs/>
          <w:sz w:val="20"/>
          <w:szCs w:val="20"/>
        </w:rPr>
        <w:t xml:space="preserve">- A telepítés évében már eleve túlméretezett </w:t>
      </w:r>
    </w:p>
    <w:p w:rsidR="002064BB" w:rsidRPr="003836D5" w:rsidRDefault="002064BB" w:rsidP="002064BB">
      <w:pPr>
        <w:contextualSpacing/>
        <w:rPr>
          <w:rFonts w:ascii="DINPro-Regular" w:hAnsi="DINPro-Regular" w:cs="Arial"/>
          <w:color w:val="FF0000"/>
          <w:sz w:val="20"/>
          <w:szCs w:val="20"/>
          <w:shd w:val="clear" w:color="auto" w:fill="FFFFFF"/>
        </w:rPr>
      </w:pPr>
      <w:r w:rsidRPr="007C3550">
        <w:rPr>
          <w:rFonts w:ascii="DINPro-Regular" w:hAnsi="DINPro-Regular"/>
          <w:bCs/>
          <w:sz w:val="20"/>
          <w:szCs w:val="20"/>
        </w:rPr>
        <w:t xml:space="preserve">- </w:t>
      </w:r>
      <w:r w:rsidRPr="007C3550">
        <w:rPr>
          <w:rFonts w:ascii="DINPro-Regular" w:hAnsi="DINPro-Regular" w:cs="Arial"/>
          <w:color w:val="222222"/>
          <w:sz w:val="20"/>
          <w:szCs w:val="20"/>
          <w:shd w:val="clear" w:color="auto" w:fill="FFFFFF"/>
        </w:rPr>
        <w:t xml:space="preserve">Értékesítések </w:t>
      </w:r>
      <w:r w:rsidR="003836D5" w:rsidRPr="00F42F5B">
        <w:rPr>
          <w:rFonts w:ascii="DINPro-Regular" w:hAnsi="DINPro-Regular" w:cs="Arial"/>
          <w:sz w:val="20"/>
          <w:szCs w:val="20"/>
          <w:shd w:val="clear" w:color="auto" w:fill="FFFFFF"/>
        </w:rPr>
        <w:t>35-50</w:t>
      </w:r>
      <w:r w:rsidRPr="007C3550">
        <w:rPr>
          <w:rFonts w:ascii="DINPro-Regular" w:hAnsi="DINPro-Regular" w:cs="Arial"/>
          <w:color w:val="222222"/>
          <w:sz w:val="20"/>
          <w:szCs w:val="20"/>
          <w:shd w:val="clear" w:color="auto" w:fill="FFFFFF"/>
        </w:rPr>
        <w:t xml:space="preserve">%-a jelenleg is „B” típusú </w:t>
      </w:r>
      <w:r w:rsidR="003836D5" w:rsidRPr="00F42F5B">
        <w:rPr>
          <w:rFonts w:ascii="DINPro-Regular" w:hAnsi="DINPro-Regular" w:cs="Arial"/>
          <w:sz w:val="20"/>
          <w:szCs w:val="20"/>
          <w:shd w:val="clear" w:color="auto" w:fill="FFFFFF"/>
        </w:rPr>
        <w:t>berendezés</w:t>
      </w:r>
    </w:p>
    <w:p w:rsidR="000A5587" w:rsidRPr="007C3550" w:rsidRDefault="000A5587" w:rsidP="002064BB">
      <w:pPr>
        <w:contextualSpacing/>
        <w:rPr>
          <w:rFonts w:ascii="DINPro-Regular" w:hAnsi="DINPro-Regular" w:cs="Arial"/>
          <w:color w:val="222222"/>
          <w:sz w:val="20"/>
          <w:szCs w:val="20"/>
          <w:shd w:val="clear" w:color="auto" w:fill="FFFFFF"/>
        </w:rPr>
      </w:pPr>
    </w:p>
    <w:p w:rsidR="002064BB" w:rsidRDefault="002064BB" w:rsidP="002064BB">
      <w:pPr>
        <w:contextualSpacing/>
        <w:rPr>
          <w:rFonts w:ascii="DINPro-Regular" w:hAnsi="DINPro-Regular" w:cs="Arial"/>
          <w:color w:val="222222"/>
          <w:shd w:val="clear" w:color="auto" w:fill="FFFFFF"/>
        </w:rPr>
      </w:pPr>
    </w:p>
    <w:p w:rsidR="002064BB" w:rsidRDefault="002064BB" w:rsidP="002064BB">
      <w:pPr>
        <w:rPr>
          <w:rFonts w:ascii="DINPro-Regular" w:hAnsi="DINPro-Regular" w:cs="Arial"/>
          <w:b/>
          <w:color w:val="222222"/>
        </w:rPr>
      </w:pPr>
      <w:r w:rsidRPr="00D43DBE">
        <w:rPr>
          <w:rFonts w:ascii="DINPro-Regular" w:hAnsi="DINPro-Regular" w:cs="Arial"/>
          <w:b/>
          <w:noProof/>
          <w:color w:val="222222"/>
        </w:rPr>
        <w:drawing>
          <wp:inline distT="0" distB="0" distL="0" distR="0">
            <wp:extent cx="5107344" cy="2486025"/>
            <wp:effectExtent l="19050" t="0" r="0" b="0"/>
            <wp:docPr id="10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44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030" w:rsidRDefault="00204030" w:rsidP="002064BB">
      <w:pPr>
        <w:rPr>
          <w:rFonts w:ascii="DINPro-Regular" w:hAnsi="DINPro-Regular" w:cs="Arial"/>
          <w:b/>
          <w:color w:val="222222"/>
        </w:rPr>
      </w:pPr>
    </w:p>
    <w:p w:rsidR="00204030" w:rsidRDefault="00204030" w:rsidP="00204030">
      <w:pPr>
        <w:rPr>
          <w:rFonts w:ascii="DINPro-Regular" w:hAnsi="DINPro-Regular" w:cs="Arial"/>
          <w:b/>
          <w:color w:val="222222"/>
        </w:rPr>
      </w:pPr>
    </w:p>
    <w:p w:rsidR="00263FFB" w:rsidRPr="00204030" w:rsidRDefault="00263FFB" w:rsidP="00204030">
      <w:pPr>
        <w:pStyle w:val="Listaszerbekezds"/>
        <w:numPr>
          <w:ilvl w:val="2"/>
          <w:numId w:val="20"/>
        </w:numPr>
        <w:rPr>
          <w:rFonts w:ascii="DINPro-Regular" w:hAnsi="DINPro-Regular" w:cs="Arial"/>
          <w:b/>
          <w:color w:val="222222"/>
          <w:sz w:val="20"/>
          <w:szCs w:val="20"/>
          <w:shd w:val="clear" w:color="auto" w:fill="FFFFFF"/>
        </w:rPr>
      </w:pPr>
      <w:r w:rsidRPr="00204030">
        <w:rPr>
          <w:rFonts w:ascii="DINPro-Regular" w:hAnsi="DINPro-Regular" w:cs="Arial"/>
          <w:b/>
          <w:color w:val="222222"/>
          <w:sz w:val="20"/>
          <w:szCs w:val="20"/>
          <w:shd w:val="clear" w:color="auto" w:fill="FFFFFF"/>
        </w:rPr>
        <w:t>A</w:t>
      </w:r>
      <w:r w:rsidR="00FC7249">
        <w:rPr>
          <w:rFonts w:ascii="DINPro-Regular" w:hAnsi="DINPro-Regular" w:cs="Arial"/>
          <w:b/>
          <w:color w:val="222222"/>
          <w:sz w:val="20"/>
          <w:szCs w:val="20"/>
          <w:shd w:val="clear" w:color="auto" w:fill="FFFFFF"/>
        </w:rPr>
        <w:t>z</w:t>
      </w:r>
      <w:r w:rsidR="002B11AB" w:rsidRPr="00204030">
        <w:rPr>
          <w:rFonts w:ascii="DINPro-Regular" w:hAnsi="DINPro-Regular" w:cs="Arial"/>
          <w:b/>
          <w:color w:val="222222"/>
          <w:sz w:val="20"/>
          <w:szCs w:val="20"/>
          <w:shd w:val="clear" w:color="auto" w:fill="FFFFFF"/>
        </w:rPr>
        <w:t xml:space="preserve"> új gázkészülék</w:t>
      </w:r>
      <w:r w:rsidR="00657BDA" w:rsidRPr="00204030">
        <w:rPr>
          <w:rFonts w:ascii="DINPro-Regular" w:hAnsi="DINPro-Regular" w:cs="Arial"/>
          <w:b/>
          <w:color w:val="222222"/>
          <w:sz w:val="20"/>
          <w:szCs w:val="20"/>
          <w:shd w:val="clear" w:color="auto" w:fill="FFFFFF"/>
        </w:rPr>
        <w:t xml:space="preserve"> </w:t>
      </w:r>
      <w:r w:rsidRPr="00204030">
        <w:rPr>
          <w:rFonts w:ascii="DINPro-Regular" w:hAnsi="DINPro-Regular" w:cs="Arial"/>
          <w:b/>
          <w:color w:val="222222"/>
          <w:sz w:val="20"/>
          <w:szCs w:val="20"/>
          <w:shd w:val="clear" w:color="auto" w:fill="FFFFFF"/>
        </w:rPr>
        <w:t>rendeletekről</w:t>
      </w:r>
    </w:p>
    <w:p w:rsidR="00263FFB" w:rsidRDefault="00263FFB" w:rsidP="00263FFB">
      <w:pPr>
        <w:rPr>
          <w:rFonts w:ascii="DINPro-Regular" w:hAnsi="DINPro-Regular" w:cs="Arial"/>
          <w:b/>
          <w:color w:val="222222"/>
          <w:sz w:val="20"/>
          <w:szCs w:val="20"/>
          <w:shd w:val="clear" w:color="auto" w:fill="FFFFFF"/>
        </w:rPr>
      </w:pPr>
    </w:p>
    <w:p w:rsidR="00B63806" w:rsidRDefault="00B63806" w:rsidP="00263FFB">
      <w:pPr>
        <w:rPr>
          <w:rFonts w:ascii="DINPro-Regular" w:hAnsi="DINPro-Regular" w:cs="Arial"/>
          <w:b/>
          <w:color w:val="222222"/>
          <w:sz w:val="20"/>
          <w:szCs w:val="20"/>
          <w:shd w:val="clear" w:color="auto" w:fill="FFFFFF"/>
        </w:rPr>
      </w:pPr>
      <w:r>
        <w:rPr>
          <w:rFonts w:ascii="DINPro-Regular" w:hAnsi="DINPro-Regular" w:cs="Arial"/>
          <w:b/>
          <w:color w:val="222222"/>
          <w:sz w:val="20"/>
          <w:szCs w:val="20"/>
          <w:shd w:val="clear" w:color="auto" w:fill="FFFFFF"/>
        </w:rPr>
        <w:t>813/2013/EU</w:t>
      </w:r>
    </w:p>
    <w:p w:rsidR="00C7709B" w:rsidRPr="00C7709B" w:rsidRDefault="00C7709B" w:rsidP="00C7709B">
      <w:pPr>
        <w:jc w:val="both"/>
        <w:rPr>
          <w:rFonts w:ascii="DINPro-Regular" w:hAnsi="DINPro-Regular"/>
          <w:sz w:val="20"/>
          <w:szCs w:val="20"/>
        </w:rPr>
      </w:pPr>
      <w:r w:rsidRPr="00C7709B">
        <w:rPr>
          <w:rFonts w:ascii="DINPro-Regular" w:hAnsi="DINPro-Regular"/>
          <w:sz w:val="20"/>
          <w:szCs w:val="20"/>
        </w:rPr>
        <w:t xml:space="preserve">A 813/2013-as EU rendelet a legfeljebb 400 kW </w:t>
      </w:r>
      <w:proofErr w:type="spellStart"/>
      <w:r w:rsidRPr="00C7709B">
        <w:rPr>
          <w:rFonts w:ascii="DINPro-Regular" w:hAnsi="DINPro-Regular"/>
          <w:sz w:val="20"/>
          <w:szCs w:val="20"/>
        </w:rPr>
        <w:t>hőteljesítményű</w:t>
      </w:r>
      <w:proofErr w:type="spellEnd"/>
      <w:r w:rsidRPr="00C7709B">
        <w:rPr>
          <w:rFonts w:ascii="DINPro-Regular" w:hAnsi="DINPro-Regular"/>
          <w:sz w:val="20"/>
          <w:szCs w:val="20"/>
        </w:rPr>
        <w:t xml:space="preserve"> helyiségfűtő berendezésekre és a kombinált fűtőberendezések forgalomba hozatalára, illetve üzembe helyezésére vonatkozik. A rendelet tehát korlátozza azoknak a gázkészülékeknek a gyártását és </w:t>
      </w:r>
      <w:r w:rsidR="003836D5" w:rsidRPr="00F42F5B">
        <w:rPr>
          <w:rFonts w:ascii="DINPro-Regular" w:hAnsi="DINPro-Regular"/>
          <w:sz w:val="20"/>
          <w:szCs w:val="20"/>
        </w:rPr>
        <w:t>forgalomba hozatalát</w:t>
      </w:r>
      <w:r w:rsidRPr="00C7709B">
        <w:rPr>
          <w:rFonts w:ascii="DINPro-Regular" w:hAnsi="DINPro-Regular"/>
          <w:sz w:val="20"/>
          <w:szCs w:val="20"/>
        </w:rPr>
        <w:t>, amelyeknek a szezonális hatásfoka</w:t>
      </w:r>
      <w:r w:rsidRPr="00C7709B">
        <w:rPr>
          <w:rStyle w:val="Lbjegyzet-hivatkozs"/>
          <w:rFonts w:ascii="DINPro-Regular" w:hAnsi="DINPro-Regular"/>
          <w:sz w:val="20"/>
          <w:szCs w:val="20"/>
        </w:rPr>
        <w:footnoteReference w:id="5"/>
      </w:r>
      <w:r w:rsidRPr="00C7709B">
        <w:rPr>
          <w:rFonts w:ascii="DINPro-Regular" w:hAnsi="DINPro-Regular"/>
          <w:sz w:val="20"/>
          <w:szCs w:val="20"/>
        </w:rPr>
        <w:t xml:space="preserve"> nem éri el a 86%-ot (a B energetikai osztályt), és amelyek névleges </w:t>
      </w:r>
      <w:proofErr w:type="spellStart"/>
      <w:r w:rsidRPr="00C7709B">
        <w:rPr>
          <w:rFonts w:ascii="DINPro-Regular" w:hAnsi="DINPro-Regular"/>
          <w:sz w:val="20"/>
          <w:szCs w:val="20"/>
        </w:rPr>
        <w:t>hőteljesítménye</w:t>
      </w:r>
      <w:proofErr w:type="spellEnd"/>
      <w:r w:rsidR="002B11AB">
        <w:rPr>
          <w:rFonts w:ascii="DINPro-Regular" w:hAnsi="DINPro-Regular"/>
          <w:sz w:val="20"/>
          <w:szCs w:val="20"/>
        </w:rPr>
        <w:t xml:space="preserve"> </w:t>
      </w:r>
      <w:r w:rsidRPr="00C7709B">
        <w:rPr>
          <w:rFonts w:ascii="DINPro-Regular" w:hAnsi="DINPro-Regular"/>
          <w:sz w:val="20"/>
          <w:szCs w:val="20"/>
        </w:rPr>
        <w:t>400kW alatt van.</w:t>
      </w:r>
      <w:r w:rsidRPr="00C7709B">
        <w:rPr>
          <w:rStyle w:val="Lbjegyzet-hivatkozs"/>
          <w:rFonts w:ascii="DINPro-Regular" w:hAnsi="DINPro-Regular"/>
          <w:sz w:val="20"/>
          <w:szCs w:val="20"/>
        </w:rPr>
        <w:footnoteReference w:id="6"/>
      </w:r>
      <w:r w:rsidRPr="00C7709B">
        <w:rPr>
          <w:rFonts w:ascii="DINPro-Regular" w:hAnsi="DINPro-Regular"/>
          <w:sz w:val="20"/>
          <w:szCs w:val="20"/>
        </w:rPr>
        <w:t xml:space="preserve"> </w:t>
      </w:r>
      <w:r w:rsidR="003836D5" w:rsidRPr="00F42F5B">
        <w:rPr>
          <w:rFonts w:ascii="DINPro-Regular" w:hAnsi="DINPro-Regular"/>
          <w:sz w:val="20"/>
          <w:szCs w:val="20"/>
        </w:rPr>
        <w:t>Gyakorlatilag</w:t>
      </w:r>
      <w:r w:rsidR="003836D5">
        <w:rPr>
          <w:rFonts w:ascii="DINPro-Regular" w:hAnsi="DINPro-Regular"/>
          <w:color w:val="FF0000"/>
          <w:sz w:val="20"/>
          <w:szCs w:val="20"/>
        </w:rPr>
        <w:t xml:space="preserve"> </w:t>
      </w:r>
      <w:r w:rsidRPr="00C7709B">
        <w:rPr>
          <w:rFonts w:ascii="DINPro-Regular" w:hAnsi="DINPro-Regular"/>
          <w:sz w:val="20"/>
          <w:szCs w:val="20"/>
        </w:rPr>
        <w:t xml:space="preserve">a kondenzációs kazánon kívül nem lehet más készüléket értékesíteni 2015. szeptember 26-tól az EU 28 tagállamán belül. </w:t>
      </w:r>
    </w:p>
    <w:p w:rsidR="003836D5" w:rsidRDefault="00C7709B" w:rsidP="003836D5">
      <w:pPr>
        <w:jc w:val="both"/>
        <w:rPr>
          <w:rFonts w:ascii="DINPro-Regular" w:hAnsi="DINPro-Regular"/>
          <w:sz w:val="20"/>
          <w:szCs w:val="20"/>
        </w:rPr>
      </w:pPr>
      <w:r w:rsidRPr="00C7709B">
        <w:rPr>
          <w:rFonts w:ascii="DINPro-Regular" w:hAnsi="DINPro-Regular"/>
          <w:sz w:val="20"/>
          <w:szCs w:val="20"/>
        </w:rPr>
        <w:t xml:space="preserve">A rendeletben kivételt képeznek a kapcsolt rendszerű, ill. gyűjtőkéménybe kötött berendezések, így azok forgalomban maradhatnak, amíg a 2018-as </w:t>
      </w:r>
      <w:proofErr w:type="spellStart"/>
      <w:r w:rsidRPr="00C7709B">
        <w:rPr>
          <w:rFonts w:ascii="DINPro-Regular" w:hAnsi="DINPro-Regular"/>
          <w:sz w:val="20"/>
          <w:szCs w:val="20"/>
        </w:rPr>
        <w:t>nitrogén-oxid-kibocsátásra</w:t>
      </w:r>
      <w:proofErr w:type="spellEnd"/>
      <w:r w:rsidRPr="00C7709B">
        <w:rPr>
          <w:rFonts w:ascii="DINPro-Regular" w:hAnsi="DINPro-Regular"/>
          <w:sz w:val="20"/>
          <w:szCs w:val="20"/>
        </w:rPr>
        <w:t xml:space="preserve"> vonatkozó rendelet</w:t>
      </w:r>
      <w:r w:rsidRPr="00C7709B">
        <w:rPr>
          <w:rStyle w:val="Lbjegyzet-hivatkozs"/>
          <w:rFonts w:ascii="DINPro-Regular" w:hAnsi="DINPro-Regular"/>
          <w:sz w:val="20"/>
          <w:szCs w:val="20"/>
        </w:rPr>
        <w:footnoteReference w:id="7"/>
      </w:r>
      <w:r w:rsidRPr="00C7709B">
        <w:rPr>
          <w:rFonts w:ascii="DINPro-Regular" w:hAnsi="DINPro-Regular"/>
          <w:sz w:val="20"/>
          <w:szCs w:val="20"/>
        </w:rPr>
        <w:t xml:space="preserve"> követelménye életbe nem lép.  Az Európai Unió tagállamaiban ugyanis közel ötmillió lakóház használ közös, nyitott égéstermék-elvezető rendszert, melyeket műszaki (és pénzügyi) okok miatt nem cserélhetik le hatékonyan kondenzációs készülékekre. </w:t>
      </w:r>
    </w:p>
    <w:p w:rsidR="003836D5" w:rsidRPr="00C7709B" w:rsidRDefault="003836D5" w:rsidP="003836D5">
      <w:pPr>
        <w:jc w:val="both"/>
        <w:rPr>
          <w:rFonts w:ascii="DINPro-Regular" w:hAnsi="DINPro-Regular"/>
          <w:sz w:val="20"/>
          <w:szCs w:val="20"/>
        </w:rPr>
      </w:pPr>
      <w:r w:rsidRPr="00C7709B">
        <w:rPr>
          <w:rFonts w:ascii="DINPro-Regular" w:hAnsi="DINPro-Regular"/>
          <w:sz w:val="20"/>
          <w:szCs w:val="20"/>
        </w:rPr>
        <w:t>A hazai hőszivattyú állomány ugyan egyelőre nem jelentős, de a törvény ezt a termékkategóriát is osztályozza.</w:t>
      </w:r>
    </w:p>
    <w:p w:rsidR="00C7709B" w:rsidRPr="00C7709B" w:rsidRDefault="00C7709B" w:rsidP="00C7709B">
      <w:pPr>
        <w:contextualSpacing/>
        <w:jc w:val="both"/>
        <w:rPr>
          <w:rFonts w:ascii="DINPro-Regular" w:hAnsi="DINPro-Regular"/>
          <w:sz w:val="20"/>
          <w:szCs w:val="20"/>
        </w:rPr>
      </w:pPr>
    </w:p>
    <w:p w:rsidR="00B63806" w:rsidRPr="00B63806" w:rsidRDefault="00B63806" w:rsidP="00C7709B">
      <w:pPr>
        <w:pStyle w:val="NormlWeb"/>
        <w:shd w:val="clear" w:color="auto" w:fill="FFFFFF"/>
        <w:spacing w:line="276" w:lineRule="auto"/>
        <w:contextualSpacing/>
        <w:jc w:val="both"/>
        <w:rPr>
          <w:rFonts w:ascii="DINPro-Regular" w:hAnsi="DINPro-Regular"/>
          <w:b/>
          <w:sz w:val="20"/>
          <w:szCs w:val="20"/>
        </w:rPr>
      </w:pPr>
      <w:r w:rsidRPr="00B63806">
        <w:rPr>
          <w:rFonts w:ascii="DINPro-Regular" w:hAnsi="DINPro-Regular"/>
          <w:b/>
          <w:sz w:val="20"/>
          <w:szCs w:val="20"/>
        </w:rPr>
        <w:t>814/2013/EU</w:t>
      </w:r>
    </w:p>
    <w:p w:rsidR="00C7709B" w:rsidRPr="00C7709B" w:rsidRDefault="00C7709B" w:rsidP="00C7709B">
      <w:pPr>
        <w:pStyle w:val="NormlWeb"/>
        <w:shd w:val="clear" w:color="auto" w:fill="FFFFFF"/>
        <w:spacing w:line="276" w:lineRule="auto"/>
        <w:contextualSpacing/>
        <w:jc w:val="both"/>
        <w:rPr>
          <w:rFonts w:ascii="DINPro-Regular" w:hAnsi="DINPro-Regular"/>
          <w:sz w:val="20"/>
          <w:szCs w:val="20"/>
        </w:rPr>
      </w:pPr>
      <w:r w:rsidRPr="00C7709B">
        <w:rPr>
          <w:rFonts w:ascii="DINPro-Regular" w:hAnsi="DINPro-Regular"/>
          <w:sz w:val="20"/>
          <w:szCs w:val="20"/>
        </w:rPr>
        <w:t xml:space="preserve">A 813-as törvény testvére a 814/2013/EU rendelet, ami gáz- és villanybojlerek, szolár és használati melegvíztárolók gyártását és forgalmazását szabályozza. A termékek szigetelésének </w:t>
      </w:r>
      <w:r w:rsidR="003836D5" w:rsidRPr="00553213">
        <w:rPr>
          <w:rFonts w:ascii="DINPro-Regular" w:hAnsi="DINPro-Regular"/>
          <w:sz w:val="20"/>
          <w:szCs w:val="20"/>
        </w:rPr>
        <w:t>hatékonyságán</w:t>
      </w:r>
      <w:r w:rsidR="003836D5">
        <w:rPr>
          <w:rFonts w:ascii="DINPro-Regular" w:hAnsi="DINPro-Regular"/>
          <w:color w:val="FF0000"/>
          <w:sz w:val="20"/>
          <w:szCs w:val="20"/>
        </w:rPr>
        <w:t xml:space="preserve"> </w:t>
      </w:r>
      <w:bookmarkStart w:id="2" w:name="_GoBack"/>
      <w:bookmarkEnd w:id="2"/>
      <w:r w:rsidRPr="00C7709B">
        <w:rPr>
          <w:rFonts w:ascii="DINPro-Regular" w:hAnsi="DINPro-Regular"/>
          <w:sz w:val="20"/>
          <w:szCs w:val="20"/>
        </w:rPr>
        <w:t>emelni kell (mely jobb hatásfokot eredményez a vízmelegítés és az elért hőfok megtartása terén). A villanybojlerek hatásfokának méretüktől függően el kell érnie legalább a 22%-ot, ami a vízmelegítő által biztosított hasznos energia és az előállításhoz szükséges energia aránya.</w:t>
      </w:r>
      <w:r w:rsidRPr="00C7709B">
        <w:rPr>
          <w:rStyle w:val="Lbjegyzet-hivatkozs"/>
          <w:rFonts w:ascii="DINPro-Regular" w:hAnsi="DINPro-Regular"/>
          <w:sz w:val="20"/>
          <w:szCs w:val="20"/>
        </w:rPr>
        <w:footnoteReference w:id="8"/>
      </w:r>
    </w:p>
    <w:p w:rsidR="00C7709B" w:rsidRPr="00C7709B" w:rsidRDefault="00C7709B" w:rsidP="00C7709B">
      <w:pPr>
        <w:pStyle w:val="NormlWeb"/>
        <w:shd w:val="clear" w:color="auto" w:fill="FFFFFF"/>
        <w:spacing w:line="276" w:lineRule="auto"/>
        <w:contextualSpacing/>
        <w:jc w:val="both"/>
        <w:rPr>
          <w:rFonts w:ascii="DINPro-Regular" w:hAnsi="DINPro-Regular"/>
          <w:sz w:val="20"/>
          <w:szCs w:val="20"/>
        </w:rPr>
      </w:pPr>
      <w:r w:rsidRPr="00C7709B">
        <w:rPr>
          <w:rFonts w:ascii="DINPro-Regular" w:hAnsi="DINPro-Regular"/>
          <w:sz w:val="20"/>
          <w:szCs w:val="20"/>
        </w:rPr>
        <w:t>Továbbá kizárólag olyan programozható elektronikával ellátott villanybojlerek értékesíthetők, ami öntanuló funkcióval és programozási lehetőséggel van ellátva.</w:t>
      </w:r>
    </w:p>
    <w:p w:rsidR="00B63806" w:rsidRDefault="00B63806" w:rsidP="00B63806">
      <w:pPr>
        <w:pStyle w:val="NormlWeb"/>
        <w:shd w:val="clear" w:color="auto" w:fill="FFFFFF"/>
        <w:spacing w:line="276" w:lineRule="auto"/>
        <w:contextualSpacing/>
        <w:jc w:val="both"/>
        <w:rPr>
          <w:rFonts w:ascii="DINPro-Regular" w:hAnsi="DINPro-Regular"/>
          <w:b/>
          <w:sz w:val="20"/>
          <w:szCs w:val="20"/>
        </w:rPr>
      </w:pPr>
    </w:p>
    <w:p w:rsidR="00B63806" w:rsidRPr="00B63806" w:rsidRDefault="00B63806" w:rsidP="00B63806">
      <w:pPr>
        <w:pStyle w:val="NormlWeb"/>
        <w:shd w:val="clear" w:color="auto" w:fill="FFFFFF"/>
        <w:spacing w:line="276" w:lineRule="auto"/>
        <w:contextualSpacing/>
        <w:jc w:val="both"/>
        <w:rPr>
          <w:rFonts w:ascii="DINPro-Regular" w:hAnsi="DINPro-Regular"/>
          <w:b/>
          <w:sz w:val="20"/>
          <w:szCs w:val="20"/>
        </w:rPr>
      </w:pPr>
      <w:r w:rsidRPr="00B63806">
        <w:rPr>
          <w:rFonts w:ascii="DINPro-Regular" w:hAnsi="DINPro-Regular"/>
          <w:b/>
          <w:sz w:val="20"/>
          <w:szCs w:val="20"/>
        </w:rPr>
        <w:t>81</w:t>
      </w:r>
      <w:r>
        <w:rPr>
          <w:rFonts w:ascii="DINPro-Regular" w:hAnsi="DINPro-Regular"/>
          <w:b/>
          <w:sz w:val="20"/>
          <w:szCs w:val="20"/>
        </w:rPr>
        <w:t>1</w:t>
      </w:r>
      <w:r w:rsidRPr="00B63806">
        <w:rPr>
          <w:rFonts w:ascii="DINPro-Regular" w:hAnsi="DINPro-Regular"/>
          <w:b/>
          <w:sz w:val="20"/>
          <w:szCs w:val="20"/>
        </w:rPr>
        <w:t>/2013/EU</w:t>
      </w:r>
    </w:p>
    <w:p w:rsidR="00C7709B" w:rsidRPr="00C7709B" w:rsidRDefault="00C7709B" w:rsidP="00B63806">
      <w:pPr>
        <w:pStyle w:val="NormlWeb"/>
        <w:shd w:val="clear" w:color="auto" w:fill="FFFFFF"/>
        <w:spacing w:line="276" w:lineRule="auto"/>
        <w:contextualSpacing/>
        <w:jc w:val="both"/>
        <w:rPr>
          <w:rFonts w:ascii="DINPro-Regular" w:hAnsi="DINPro-Regular" w:cs="Arial"/>
          <w:color w:val="222222"/>
          <w:sz w:val="20"/>
          <w:szCs w:val="20"/>
          <w:shd w:val="clear" w:color="auto" w:fill="FFFFFF"/>
        </w:rPr>
      </w:pPr>
      <w:r w:rsidRPr="00B63806">
        <w:rPr>
          <w:rFonts w:ascii="DINPro-Regular" w:hAnsi="DINPro-Regular"/>
          <w:sz w:val="20"/>
          <w:szCs w:val="20"/>
        </w:rPr>
        <w:t>2015. szeptember 26-tól továbbá valamennyi, a 813 és 814/2013 rendeletekben meghatározott berendezést energiacímkével</w:t>
      </w:r>
      <w:r w:rsidR="005F1EC4">
        <w:rPr>
          <w:rFonts w:ascii="DINPro-Regular" w:hAnsi="DINPro-Regular"/>
          <w:sz w:val="20"/>
          <w:szCs w:val="20"/>
        </w:rPr>
        <w:t xml:space="preserve"> is</w:t>
      </w:r>
      <w:r w:rsidRPr="00B63806">
        <w:rPr>
          <w:rFonts w:ascii="DINPro-Regular" w:hAnsi="DINPro-Regular"/>
          <w:sz w:val="20"/>
          <w:szCs w:val="20"/>
        </w:rPr>
        <w:t xml:space="preserve"> kell ellátni. A berendezések energiafogyasztásának címkézéséről szóló rendeletben (811/2013) meghatározzák, hogy a címke tartalmazza a külön fűtésre és használati meleg vízre vonatkozóan a hatásfokot, a</w:t>
      </w:r>
      <w:r w:rsidRPr="00B63806">
        <w:rPr>
          <w:rFonts w:ascii="DINPro-Regular" w:hAnsi="DINPro-Regular" w:cs="Arial"/>
          <w:color w:val="222222"/>
          <w:sz w:val="20"/>
          <w:szCs w:val="20"/>
          <w:shd w:val="clear" w:color="auto" w:fill="FFFFFF"/>
        </w:rPr>
        <w:t xml:space="preserve"> zajkibocsátás mértékét és a névleges teljesítményt. Fel kell tüntetni a gyártót és a termék pontos</w:t>
      </w:r>
      <w:r w:rsidRPr="00C7709B">
        <w:rPr>
          <w:rFonts w:ascii="DINPro-Regular" w:hAnsi="DINPro-Regular" w:cs="Arial"/>
          <w:color w:val="222222"/>
          <w:sz w:val="20"/>
          <w:szCs w:val="20"/>
          <w:shd w:val="clear" w:color="auto" w:fill="FFFFFF"/>
        </w:rPr>
        <w:t xml:space="preserve"> típusát. Továbbá az eladás vagy beüzemelés során az eladó köteles kiállítani egy rendszer</w:t>
      </w:r>
      <w:r w:rsidR="0012313D">
        <w:rPr>
          <w:rFonts w:ascii="DINPro-Regular" w:hAnsi="DINPro-Regular" w:cs="Arial"/>
          <w:color w:val="222222"/>
          <w:sz w:val="20"/>
          <w:szCs w:val="20"/>
          <w:shd w:val="clear" w:color="auto" w:fill="FFFFFF"/>
        </w:rPr>
        <w:t>-energia</w:t>
      </w:r>
      <w:r w:rsidRPr="00C7709B">
        <w:rPr>
          <w:rFonts w:ascii="DINPro-Regular" w:hAnsi="DINPro-Regular" w:cs="Arial"/>
          <w:color w:val="222222"/>
          <w:sz w:val="20"/>
          <w:szCs w:val="20"/>
          <w:shd w:val="clear" w:color="auto" w:fill="FFFFFF"/>
        </w:rPr>
        <w:t xml:space="preserve">címkét, amelyen </w:t>
      </w:r>
      <w:r w:rsidR="0012313D">
        <w:rPr>
          <w:rFonts w:ascii="DINPro-Regular" w:hAnsi="DINPro-Regular" w:cs="Arial"/>
          <w:color w:val="222222"/>
          <w:sz w:val="20"/>
          <w:szCs w:val="20"/>
          <w:shd w:val="clear" w:color="auto" w:fill="FFFFFF"/>
        </w:rPr>
        <w:t>ki kell számítani a teljes</w:t>
      </w:r>
      <w:r w:rsidRPr="00C7709B">
        <w:rPr>
          <w:rFonts w:ascii="DINPro-Regular" w:hAnsi="DINPro-Regular" w:cs="Arial"/>
          <w:color w:val="222222"/>
          <w:sz w:val="20"/>
          <w:szCs w:val="20"/>
          <w:shd w:val="clear" w:color="auto" w:fill="FFFFFF"/>
        </w:rPr>
        <w:t xml:space="preserve"> fűtési rendszernek az energ</w:t>
      </w:r>
      <w:r w:rsidR="0012313D">
        <w:rPr>
          <w:rFonts w:ascii="DINPro-Regular" w:hAnsi="DINPro-Regular" w:cs="Arial"/>
          <w:color w:val="222222"/>
          <w:sz w:val="20"/>
          <w:szCs w:val="20"/>
          <w:shd w:val="clear" w:color="auto" w:fill="FFFFFF"/>
        </w:rPr>
        <w:t>iahatékonysági</w:t>
      </w:r>
      <w:r w:rsidRPr="00C7709B">
        <w:rPr>
          <w:rFonts w:ascii="DINPro-Regular" w:hAnsi="DINPro-Regular" w:cs="Arial"/>
          <w:color w:val="222222"/>
          <w:sz w:val="20"/>
          <w:szCs w:val="20"/>
          <w:shd w:val="clear" w:color="auto" w:fill="FFFFFF"/>
        </w:rPr>
        <w:t xml:space="preserve"> szintjét. </w:t>
      </w:r>
    </w:p>
    <w:p w:rsidR="00C7709B" w:rsidRPr="00C7709B" w:rsidRDefault="005F1EC4" w:rsidP="00C7709B">
      <w:pPr>
        <w:jc w:val="both"/>
        <w:rPr>
          <w:rFonts w:ascii="DINPro-Regular" w:hAnsi="DINPro-Regular"/>
          <w:b/>
          <w:sz w:val="20"/>
          <w:szCs w:val="20"/>
        </w:rPr>
      </w:pPr>
      <w:r>
        <w:rPr>
          <w:rFonts w:ascii="DINPro-Regular" w:hAnsi="DINPro-Regular"/>
          <w:b/>
          <w:sz w:val="20"/>
          <w:szCs w:val="20"/>
        </w:rPr>
        <w:t>M</w:t>
      </w:r>
      <w:r w:rsidR="00C7709B" w:rsidRPr="00C7709B">
        <w:rPr>
          <w:rFonts w:ascii="DINPro-Regular" w:hAnsi="DINPro-Regular"/>
          <w:b/>
          <w:sz w:val="20"/>
          <w:szCs w:val="20"/>
        </w:rPr>
        <w:t>inta</w:t>
      </w:r>
    </w:p>
    <w:p w:rsidR="00C7709B" w:rsidRDefault="00C7709B" w:rsidP="00C7709B">
      <w:pPr>
        <w:rPr>
          <w:rFonts w:ascii="DINPro-Regular" w:hAnsi="DINPro-Regular"/>
        </w:rPr>
      </w:pPr>
    </w:p>
    <w:p w:rsidR="00C7709B" w:rsidRDefault="00C7709B" w:rsidP="00C7709B">
      <w:pPr>
        <w:rPr>
          <w:rFonts w:ascii="DINPro-Regular" w:hAnsi="DINPro-Regular"/>
        </w:rPr>
      </w:pPr>
      <w:r w:rsidRPr="009B1C89">
        <w:rPr>
          <w:rFonts w:ascii="DINPro-Regular" w:hAnsi="DINPro-Regular"/>
          <w:noProof/>
        </w:rPr>
        <w:drawing>
          <wp:inline distT="0" distB="0" distL="0" distR="0">
            <wp:extent cx="2533318" cy="2886323"/>
            <wp:effectExtent l="19050" t="0" r="332" b="0"/>
            <wp:docPr id="9" name="Kép 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96" cy="28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C89">
        <w:rPr>
          <w:rFonts w:ascii="DINPro-Regular" w:hAnsi="DINPro-Regular"/>
          <w:noProof/>
        </w:rPr>
        <w:drawing>
          <wp:inline distT="0" distB="0" distL="0" distR="0">
            <wp:extent cx="2342488" cy="2862469"/>
            <wp:effectExtent l="19050" t="0" r="662" b="0"/>
            <wp:docPr id="11" name="Kép 15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811" cy="2865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9B" w:rsidRDefault="00C7709B" w:rsidP="00C7709B">
      <w:pPr>
        <w:rPr>
          <w:rFonts w:ascii="DINPro-Regular" w:hAnsi="DINPro-Regular"/>
        </w:rPr>
      </w:pPr>
    </w:p>
    <w:p w:rsidR="009367C5" w:rsidRDefault="009367C5" w:rsidP="001E77E9">
      <w:pPr>
        <w:jc w:val="both"/>
        <w:outlineLvl w:val="0"/>
        <w:rPr>
          <w:rFonts w:ascii="DINPro-Regular" w:hAnsi="DINPro-Regular"/>
          <w:bCs/>
          <w:sz w:val="20"/>
          <w:szCs w:val="20"/>
        </w:rPr>
      </w:pPr>
    </w:p>
    <w:p w:rsidR="000A5587" w:rsidRDefault="000A5587" w:rsidP="001E77E9">
      <w:pPr>
        <w:jc w:val="both"/>
        <w:outlineLvl w:val="0"/>
        <w:rPr>
          <w:rFonts w:ascii="DINPro-Regular" w:hAnsi="DINPro-Regular"/>
          <w:bCs/>
          <w:sz w:val="20"/>
          <w:szCs w:val="20"/>
        </w:rPr>
      </w:pPr>
    </w:p>
    <w:p w:rsidR="00100961" w:rsidRDefault="00100961" w:rsidP="001E77E9">
      <w:pPr>
        <w:jc w:val="both"/>
        <w:outlineLvl w:val="0"/>
        <w:rPr>
          <w:rFonts w:ascii="DINPro-Regular" w:hAnsi="DINPro-Regular"/>
          <w:bCs/>
          <w:sz w:val="20"/>
          <w:szCs w:val="20"/>
        </w:rPr>
      </w:pPr>
    </w:p>
    <w:p w:rsidR="00855884" w:rsidRDefault="00855884" w:rsidP="001E77E9">
      <w:pPr>
        <w:jc w:val="both"/>
        <w:outlineLvl w:val="0"/>
        <w:rPr>
          <w:rFonts w:ascii="DINPro-Regular" w:hAnsi="DINPro-Regular"/>
          <w:bCs/>
          <w:sz w:val="20"/>
          <w:szCs w:val="20"/>
        </w:rPr>
      </w:pPr>
    </w:p>
    <w:p w:rsidR="00134DFB" w:rsidRPr="00ED379F" w:rsidRDefault="007C4BA6" w:rsidP="00134DFB">
      <w:pPr>
        <w:jc w:val="both"/>
        <w:rPr>
          <w:rFonts w:ascii="DINPro-Regular" w:hAnsi="DINPro-Regular"/>
          <w:sz w:val="20"/>
          <w:szCs w:val="20"/>
          <w:u w:val="single"/>
        </w:rPr>
      </w:pPr>
      <w:r w:rsidRPr="00ED379F">
        <w:rPr>
          <w:rFonts w:ascii="DINPro-Regular" w:hAnsi="DINPro-Regular"/>
          <w:sz w:val="20"/>
          <w:szCs w:val="20"/>
          <w:u w:val="single"/>
        </w:rPr>
        <w:t>A Magyar Energiahatékonysági Intézetről:</w:t>
      </w:r>
    </w:p>
    <w:p w:rsidR="00134DFB" w:rsidRPr="00ED379F" w:rsidRDefault="007C4BA6" w:rsidP="00134DFB">
      <w:pPr>
        <w:jc w:val="both"/>
        <w:rPr>
          <w:rFonts w:ascii="DINPro-Regular" w:hAnsi="DINPro-Regular"/>
          <w:sz w:val="20"/>
          <w:szCs w:val="20"/>
        </w:rPr>
      </w:pPr>
      <w:r w:rsidRPr="00ED379F">
        <w:rPr>
          <w:rFonts w:ascii="DINPro-Regular" w:hAnsi="DINPro-Regular"/>
          <w:sz w:val="20"/>
          <w:szCs w:val="20"/>
        </w:rPr>
        <w:t xml:space="preserve">A Magyar Energiahatékonysági </w:t>
      </w:r>
      <w:r w:rsidR="0012313D" w:rsidRPr="00ED379F">
        <w:rPr>
          <w:rFonts w:ascii="DINPro-Regular" w:hAnsi="DINPro-Regular"/>
          <w:sz w:val="20"/>
          <w:szCs w:val="20"/>
        </w:rPr>
        <w:t>Intézet</w:t>
      </w:r>
      <w:r w:rsidR="0012313D">
        <w:rPr>
          <w:rFonts w:ascii="DINPro-Regular" w:hAnsi="DINPro-Regular"/>
          <w:sz w:val="20"/>
          <w:szCs w:val="20"/>
        </w:rPr>
        <w:t xml:space="preserve"> Közhasznú </w:t>
      </w:r>
      <w:r w:rsidRPr="00ED379F">
        <w:rPr>
          <w:rFonts w:ascii="DINPro-Regular" w:hAnsi="DINPro-Regular"/>
          <w:sz w:val="20"/>
          <w:szCs w:val="20"/>
        </w:rPr>
        <w:t>Nonprofit Kft. (MEHI) az energiahatékonysági piacon érdekelt vállalkozásokkal partnerségben működő elemző és érdekérvényesítő szervezet. Arra alakult, hogy ösztönözze az energiahatékonysági beruházásokat, mind kormányzati intézkedések segítségével, mind a fogyasztók, piaci szereplők tájékoztatásával. A MEHI partnerei hazánk meghatározó energiahatékonysági vállalkozásai.</w:t>
      </w:r>
    </w:p>
    <w:p w:rsidR="00E66CF5" w:rsidRDefault="00E66CF5" w:rsidP="00E66CF5">
      <w:pPr>
        <w:jc w:val="both"/>
        <w:rPr>
          <w:rFonts w:ascii="DINPro-Regular" w:hAnsi="DINPro-Regular"/>
          <w:sz w:val="20"/>
          <w:szCs w:val="20"/>
          <w:u w:val="single"/>
        </w:rPr>
      </w:pPr>
    </w:p>
    <w:p w:rsidR="00E66CF5" w:rsidRPr="005B6355" w:rsidRDefault="00E66CF5" w:rsidP="00E66CF5">
      <w:pPr>
        <w:jc w:val="both"/>
        <w:rPr>
          <w:rFonts w:ascii="DINPro-Regular" w:hAnsi="DINPro-Regular"/>
          <w:sz w:val="20"/>
          <w:szCs w:val="20"/>
          <w:u w:val="single"/>
        </w:rPr>
      </w:pPr>
      <w:r w:rsidRPr="005B6355">
        <w:rPr>
          <w:rFonts w:ascii="DINPro-Regular" w:hAnsi="DINPro-Regular"/>
          <w:sz w:val="20"/>
          <w:szCs w:val="20"/>
          <w:u w:val="single"/>
        </w:rPr>
        <w:t xml:space="preserve">További információ, kapcsolat: </w:t>
      </w:r>
    </w:p>
    <w:p w:rsidR="00E66CF5" w:rsidRDefault="00733F4C" w:rsidP="00E66CF5">
      <w:pPr>
        <w:jc w:val="both"/>
        <w:rPr>
          <w:rFonts w:ascii="DINPro-Regular" w:hAnsi="DINPro-Regular"/>
          <w:sz w:val="19"/>
          <w:szCs w:val="19"/>
        </w:rPr>
      </w:pPr>
      <w:r>
        <w:rPr>
          <w:rFonts w:ascii="DINPro-Regular" w:hAnsi="DINPro-Regular"/>
          <w:sz w:val="20"/>
          <w:szCs w:val="20"/>
        </w:rPr>
        <w:t>Dr. Bart István</w:t>
      </w:r>
      <w:r w:rsidR="00E66CF5" w:rsidRPr="005B6355">
        <w:rPr>
          <w:rFonts w:ascii="DINPro-Regular" w:hAnsi="DINPro-Regular"/>
          <w:sz w:val="20"/>
          <w:szCs w:val="20"/>
        </w:rPr>
        <w:t xml:space="preserve"> </w:t>
      </w:r>
      <w:r w:rsidR="00E66CF5" w:rsidRPr="005B6355">
        <w:rPr>
          <w:rFonts w:ascii="DINPro-Regular" w:hAnsi="DINPro-Regular"/>
          <w:sz w:val="20"/>
          <w:szCs w:val="20"/>
        </w:rPr>
        <w:tab/>
      </w:r>
      <w:r w:rsidR="00E66CF5" w:rsidRPr="005B6355">
        <w:rPr>
          <w:rFonts w:ascii="DINPro-Regular" w:hAnsi="DINPro-Regular"/>
          <w:sz w:val="20"/>
          <w:szCs w:val="20"/>
        </w:rPr>
        <w:tab/>
      </w:r>
      <w:r w:rsidR="00E66CF5" w:rsidRPr="005B6355">
        <w:rPr>
          <w:rFonts w:ascii="DINPro-Regular" w:hAnsi="DINPro-Regular"/>
          <w:sz w:val="20"/>
          <w:szCs w:val="20"/>
        </w:rPr>
        <w:tab/>
      </w:r>
      <w:r w:rsidR="00E66CF5" w:rsidRPr="005B6355">
        <w:rPr>
          <w:rFonts w:ascii="DINPro-Regular" w:hAnsi="DINPro-Regular"/>
          <w:sz w:val="20"/>
          <w:szCs w:val="20"/>
        </w:rPr>
        <w:tab/>
      </w:r>
      <w:hyperlink r:id="rId12" w:history="1">
        <w:r w:rsidR="00E66CF5" w:rsidRPr="005B6355">
          <w:rPr>
            <w:rFonts w:ascii="DINPro-Regular" w:hAnsi="DINPro-Regular"/>
            <w:sz w:val="20"/>
            <w:szCs w:val="20"/>
          </w:rPr>
          <w:t>mehi@mehi.hu</w:t>
        </w:r>
      </w:hyperlink>
      <w:r w:rsidR="00E66CF5" w:rsidRPr="005B6355">
        <w:rPr>
          <w:rFonts w:ascii="DINPro-Regular" w:hAnsi="DINPro-Regular"/>
          <w:sz w:val="20"/>
          <w:szCs w:val="20"/>
        </w:rPr>
        <w:tab/>
      </w:r>
      <w:r w:rsidR="00E66CF5" w:rsidRPr="005B6355">
        <w:rPr>
          <w:rFonts w:ascii="DINPro-Regular" w:hAnsi="DINPro-Regular"/>
          <w:sz w:val="20"/>
          <w:szCs w:val="20"/>
        </w:rPr>
        <w:tab/>
      </w:r>
      <w:r w:rsidR="00E66CF5" w:rsidRPr="005B6355">
        <w:rPr>
          <w:rFonts w:ascii="DINPro-Regular" w:hAnsi="DINPro-Regular"/>
          <w:sz w:val="20"/>
          <w:szCs w:val="20"/>
        </w:rPr>
        <w:tab/>
      </w:r>
      <w:r w:rsidR="00E66CF5" w:rsidRPr="005B6355">
        <w:rPr>
          <w:rFonts w:ascii="DINPro-Regular" w:hAnsi="DINPro-Regular"/>
          <w:sz w:val="20"/>
          <w:szCs w:val="20"/>
        </w:rPr>
        <w:tab/>
        <w:t xml:space="preserve">Tel: </w:t>
      </w:r>
      <w:r>
        <w:rPr>
          <w:rFonts w:ascii="DINPro-Regular" w:hAnsi="DINPro-Regular"/>
          <w:sz w:val="20"/>
          <w:szCs w:val="20"/>
        </w:rPr>
        <w:t>3</w:t>
      </w:r>
      <w:r w:rsidR="00E66CF5" w:rsidRPr="005B6355">
        <w:rPr>
          <w:rFonts w:ascii="DINPro-Regular" w:hAnsi="DINPro-Regular"/>
          <w:sz w:val="20"/>
          <w:szCs w:val="20"/>
        </w:rPr>
        <w:t>0 9</w:t>
      </w:r>
      <w:r>
        <w:rPr>
          <w:rFonts w:ascii="DINPro-Regular" w:hAnsi="DINPro-Regular"/>
          <w:sz w:val="20"/>
          <w:szCs w:val="20"/>
        </w:rPr>
        <w:t>48</w:t>
      </w:r>
      <w:r w:rsidR="00E66CF5" w:rsidRPr="005B6355">
        <w:rPr>
          <w:rFonts w:ascii="DINPro-Regular" w:hAnsi="DINPro-Regular"/>
          <w:sz w:val="20"/>
          <w:szCs w:val="20"/>
        </w:rPr>
        <w:t xml:space="preserve"> </w:t>
      </w:r>
      <w:r>
        <w:rPr>
          <w:rFonts w:ascii="DINPro-Regular" w:hAnsi="DINPro-Regular"/>
          <w:sz w:val="20"/>
          <w:szCs w:val="20"/>
        </w:rPr>
        <w:t>2246</w:t>
      </w:r>
      <w:r w:rsidR="00C16352">
        <w:rPr>
          <w:rFonts w:ascii="DINPro-Regular" w:hAnsi="DINPro-Regular"/>
          <w:sz w:val="20"/>
          <w:szCs w:val="20"/>
        </w:rPr>
        <w:t xml:space="preserve"> </w:t>
      </w:r>
    </w:p>
    <w:p w:rsidR="00E66CF5" w:rsidRPr="00E66CF5" w:rsidRDefault="00E66CF5" w:rsidP="00134DFB">
      <w:pPr>
        <w:jc w:val="both"/>
        <w:rPr>
          <w:rFonts w:ascii="DINPro-Regular" w:hAnsi="DINPro-Regular" w:cs="DilleniaUPC"/>
          <w:sz w:val="18"/>
          <w:szCs w:val="18"/>
        </w:rPr>
      </w:pPr>
    </w:p>
    <w:p w:rsidR="00AE2762" w:rsidRPr="00134DFB" w:rsidRDefault="00AE2762" w:rsidP="00134DFB">
      <w:pPr>
        <w:rPr>
          <w:szCs w:val="22"/>
        </w:rPr>
      </w:pPr>
    </w:p>
    <w:p w:rsidR="00D50A70" w:rsidRPr="00134DFB" w:rsidRDefault="00D50A70">
      <w:pPr>
        <w:rPr>
          <w:szCs w:val="22"/>
        </w:rPr>
      </w:pPr>
    </w:p>
    <w:sectPr w:rsidR="00D50A70" w:rsidRPr="00134DFB" w:rsidSect="00F70248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0" w:footer="1417" w:gutter="0"/>
      <w:cols w:space="708"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4259" w:rsidRDefault="009A4259">
      <w:r>
        <w:separator/>
      </w:r>
    </w:p>
  </w:endnote>
  <w:endnote w:type="continuationSeparator" w:id="0">
    <w:p w:rsidR="009A4259" w:rsidRDefault="009A42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w Cen MT">
    <w:altName w:val="Arial"/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DINPro-Regular"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21687"/>
      <w:docPartObj>
        <w:docPartGallery w:val="Page Numbers (Bottom of Page)"/>
        <w:docPartUnique/>
      </w:docPartObj>
    </w:sdtPr>
    <w:sdtContent>
      <w:p w:rsidR="002B11AB" w:rsidRDefault="0059538E">
        <w:pPr>
          <w:pStyle w:val="llb"/>
          <w:jc w:val="right"/>
        </w:pPr>
        <w:r w:rsidRPr="000064FB">
          <w:rPr>
            <w:rFonts w:ascii="DINPro-Regular" w:hAnsi="DINPro-Regular"/>
            <w:sz w:val="16"/>
            <w:szCs w:val="16"/>
          </w:rPr>
          <w:fldChar w:fldCharType="begin"/>
        </w:r>
        <w:r w:rsidR="002B11AB" w:rsidRPr="000064FB">
          <w:rPr>
            <w:rFonts w:ascii="DINPro-Regular" w:hAnsi="DINPro-Regular"/>
            <w:sz w:val="16"/>
            <w:szCs w:val="16"/>
          </w:rPr>
          <w:instrText xml:space="preserve"> PAGE   \* MERGEFORMAT </w:instrText>
        </w:r>
        <w:r w:rsidRPr="000064FB">
          <w:rPr>
            <w:rFonts w:ascii="DINPro-Regular" w:hAnsi="DINPro-Regular"/>
            <w:sz w:val="16"/>
            <w:szCs w:val="16"/>
          </w:rPr>
          <w:fldChar w:fldCharType="separate"/>
        </w:r>
        <w:r w:rsidR="00F632FB">
          <w:rPr>
            <w:rFonts w:ascii="DINPro-Regular" w:hAnsi="DINPro-Regular"/>
            <w:noProof/>
            <w:sz w:val="16"/>
            <w:szCs w:val="16"/>
          </w:rPr>
          <w:t>2</w:t>
        </w:r>
        <w:r w:rsidRPr="000064FB">
          <w:rPr>
            <w:rFonts w:ascii="DINPro-Regular" w:hAnsi="DINPro-Regular"/>
            <w:sz w:val="16"/>
            <w:szCs w:val="16"/>
          </w:rPr>
          <w:fldChar w:fldCharType="end"/>
        </w:r>
      </w:p>
    </w:sdtContent>
  </w:sdt>
  <w:p w:rsidR="002B11AB" w:rsidRDefault="002B11AB" w:rsidP="00F8692A">
    <w:pPr>
      <w:pStyle w:val="llb"/>
      <w:tabs>
        <w:tab w:val="clear" w:pos="4536"/>
        <w:tab w:val="clear" w:pos="9072"/>
        <w:tab w:val="center" w:pos="4524"/>
      </w:tabs>
      <w:ind w:left="-141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1AB" w:rsidRDefault="002B11AB">
    <w:pPr>
      <w:pStyle w:val="llb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-916305</wp:posOffset>
          </wp:positionH>
          <wp:positionV relativeFrom="paragraph">
            <wp:posOffset>132080</wp:posOffset>
          </wp:positionV>
          <wp:extent cx="8027670" cy="942340"/>
          <wp:effectExtent l="19050" t="0" r="0" b="0"/>
          <wp:wrapNone/>
          <wp:docPr id="3" name="Kép 1" descr="lev_lablec_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v_lablec_x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7670" cy="942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4259" w:rsidRDefault="009A4259">
      <w:r>
        <w:separator/>
      </w:r>
    </w:p>
  </w:footnote>
  <w:footnote w:type="continuationSeparator" w:id="0">
    <w:p w:rsidR="009A4259" w:rsidRDefault="009A4259">
      <w:r>
        <w:continuationSeparator/>
      </w:r>
    </w:p>
  </w:footnote>
  <w:footnote w:id="1">
    <w:p w:rsidR="002B11AB" w:rsidRPr="006A1226" w:rsidRDefault="005841BA" w:rsidP="00F12D35">
      <w:pPr>
        <w:pStyle w:val="Lbjegyzetszveg"/>
        <w:rPr>
          <w:rFonts w:ascii="DINPro-Regular" w:hAnsi="DINPro-Regular" w:cs="Times New Roman"/>
          <w:sz w:val="16"/>
          <w:szCs w:val="16"/>
        </w:rPr>
      </w:pPr>
      <w:r>
        <w:rPr>
          <w:rStyle w:val="Lbjegyzet-hivatkozs"/>
        </w:rPr>
        <w:footnoteRef/>
      </w:r>
      <w:r w:rsidR="002B11AB" w:rsidRPr="006A1226">
        <w:rPr>
          <w:rFonts w:ascii="DINPro-Regular" w:hAnsi="DINPro-Regular" w:cs="Times New Roman"/>
          <w:sz w:val="16"/>
          <w:szCs w:val="16"/>
        </w:rPr>
        <w:t xml:space="preserve"> </w:t>
      </w:r>
      <w:hyperlink r:id="rId1" w:history="1">
        <w:r w:rsidR="002B11AB" w:rsidRPr="00EE7845">
          <w:rPr>
            <w:rStyle w:val="Hiperhivatkozs"/>
            <w:rFonts w:ascii="DINPro-Regular" w:hAnsi="DINPro-Regular" w:cs="Times New Roman"/>
            <w:sz w:val="16"/>
            <w:szCs w:val="16"/>
          </w:rPr>
          <w:t>http://energiaklub.hu/sites/default/files/sajtokozlemeny_energaihatekonysagi_barometer_2014.pdf</w:t>
        </w:r>
      </w:hyperlink>
    </w:p>
  </w:footnote>
  <w:footnote w:id="2">
    <w:p w:rsidR="002B11AB" w:rsidRPr="00A8189C" w:rsidRDefault="002B11AB" w:rsidP="00CF0648">
      <w:pPr>
        <w:pStyle w:val="Lbjegyzetszveg"/>
        <w:rPr>
          <w:rStyle w:val="Lbjegyzet-hivatkozs"/>
        </w:rPr>
      </w:pPr>
      <w:r>
        <w:rPr>
          <w:rStyle w:val="Lbjegyzet-hivatkozs"/>
        </w:rPr>
        <w:footnoteRef/>
      </w:r>
      <w:r w:rsidRPr="00A8189C">
        <w:rPr>
          <w:rStyle w:val="Lbjegyzet-hivatkozs"/>
        </w:rPr>
        <w:t xml:space="preserve"> </w:t>
      </w:r>
      <w:hyperlink r:id="rId2" w:history="1">
        <w:r w:rsidRPr="00EE7845">
          <w:rPr>
            <w:rStyle w:val="Hiperhivatkozs"/>
            <w:vertAlign w:val="superscript"/>
          </w:rPr>
          <w:t>20/2014 (III.7.) BM rendelet</w:t>
        </w:r>
      </w:hyperlink>
    </w:p>
  </w:footnote>
  <w:footnote w:id="3">
    <w:p w:rsidR="002B11AB" w:rsidRPr="00077059" w:rsidRDefault="0059538E" w:rsidP="002064BB">
      <w:pPr>
        <w:pStyle w:val="Lbjegyzetszveg"/>
        <w:rPr>
          <w:rStyle w:val="Lbjegyzet-hivatkozs"/>
        </w:rPr>
      </w:pPr>
      <w:hyperlink r:id="rId3" w:history="1">
        <w:r w:rsidR="002B11AB" w:rsidRPr="00F22BF8">
          <w:rPr>
            <w:rStyle w:val="Hiperhivatkozs"/>
            <w:vertAlign w:val="superscript"/>
          </w:rPr>
          <w:footnoteRef/>
        </w:r>
        <w:r w:rsidR="002B11AB" w:rsidRPr="00F22BF8">
          <w:rPr>
            <w:rStyle w:val="Hiperhivatkozs"/>
          </w:rPr>
          <w:t xml:space="preserve"> </w:t>
        </w:r>
        <w:r w:rsidR="002B11AB" w:rsidRPr="00F22BF8">
          <w:rPr>
            <w:rStyle w:val="Hiperhivatkozs"/>
            <w:vertAlign w:val="superscript"/>
          </w:rPr>
          <w:t>811/2013/EU</w:t>
        </w:r>
      </w:hyperlink>
      <w:r w:rsidR="002B11AB">
        <w:rPr>
          <w:rStyle w:val="Lbjegyzet-hivatkozs"/>
        </w:rPr>
        <w:t xml:space="preserve">, </w:t>
      </w:r>
      <w:hyperlink r:id="rId4" w:history="1">
        <w:r w:rsidR="00F22BF8" w:rsidRPr="00F22BF8">
          <w:rPr>
            <w:rStyle w:val="Hiperhivatkozs"/>
            <w:vertAlign w:val="superscript"/>
          </w:rPr>
          <w:t>813</w:t>
        </w:r>
        <w:r w:rsidR="002B11AB" w:rsidRPr="00F22BF8">
          <w:rPr>
            <w:rStyle w:val="Hiperhivatkozs"/>
            <w:vertAlign w:val="superscript"/>
          </w:rPr>
          <w:t>/2013/EU</w:t>
        </w:r>
      </w:hyperlink>
      <w:r w:rsidR="002B11AB" w:rsidRPr="00077059">
        <w:rPr>
          <w:rStyle w:val="Lbjegyzet-hivatkozs"/>
        </w:rPr>
        <w:t xml:space="preserve"> és </w:t>
      </w:r>
      <w:hyperlink r:id="rId5" w:history="1">
        <w:r w:rsidR="002B11AB" w:rsidRPr="006E1544">
          <w:rPr>
            <w:rStyle w:val="Hiperhivatkozs"/>
            <w:vertAlign w:val="superscript"/>
          </w:rPr>
          <w:t>814/2013/ EU rendelet</w:t>
        </w:r>
      </w:hyperlink>
      <w:r w:rsidR="002B11AB">
        <w:t xml:space="preserve"> </w:t>
      </w:r>
    </w:p>
    <w:p w:rsidR="002B11AB" w:rsidRDefault="002B11AB">
      <w:pPr>
        <w:pStyle w:val="Lbjegyzetszveg"/>
      </w:pPr>
    </w:p>
  </w:footnote>
  <w:footnote w:id="4">
    <w:p w:rsidR="002B11AB" w:rsidRPr="00077059" w:rsidRDefault="002B11AB" w:rsidP="002064BB">
      <w:pPr>
        <w:pStyle w:val="Lbjegyzetszveg"/>
        <w:rPr>
          <w:rStyle w:val="Lbjegyzet-hivatkozs"/>
        </w:rPr>
      </w:pPr>
      <w:r>
        <w:rPr>
          <w:rStyle w:val="Lbjegyzet-hivatkozs"/>
        </w:rPr>
        <w:footnoteRef/>
      </w:r>
      <w:r w:rsidRPr="00077059">
        <w:rPr>
          <w:rStyle w:val="Lbjegyzet-hivatkozs"/>
        </w:rPr>
        <w:t xml:space="preserve"> Magyar Gázipari Vállalkozók Egyesületének becslése</w:t>
      </w:r>
    </w:p>
  </w:footnote>
  <w:footnote w:id="5">
    <w:p w:rsidR="002B11AB" w:rsidRPr="00BD7632" w:rsidRDefault="002B11AB" w:rsidP="00C7709B">
      <w:pPr>
        <w:contextualSpacing/>
        <w:rPr>
          <w:rFonts w:ascii="DINPro-Regular" w:hAnsi="DINPro-Regular" w:cs="Arial"/>
          <w:color w:val="222222"/>
          <w:sz w:val="16"/>
          <w:szCs w:val="16"/>
          <w:shd w:val="clear" w:color="auto" w:fill="FFFFFF"/>
        </w:rPr>
      </w:pPr>
      <w:r>
        <w:rPr>
          <w:rStyle w:val="Lbjegyzet-hivatkozs"/>
        </w:rPr>
        <w:footnoteRef/>
      </w:r>
      <w:r>
        <w:t xml:space="preserve"> </w:t>
      </w:r>
      <w:r w:rsidRPr="00BD7632">
        <w:rPr>
          <w:rFonts w:ascii="DINPro-Regular" w:hAnsi="DINPro-Regular" w:cs="Arial"/>
          <w:color w:val="222222"/>
          <w:sz w:val="16"/>
          <w:szCs w:val="16"/>
          <w:shd w:val="clear" w:color="auto" w:fill="FFFFFF"/>
        </w:rPr>
        <w:t xml:space="preserve">Szezonális hatásfokban határozzák meg a berendezések minimum követelményeit, </w:t>
      </w:r>
      <w:r w:rsidR="00FC3B68" w:rsidRPr="00657BDA">
        <w:rPr>
          <w:rFonts w:ascii="DINPro-Regular" w:hAnsi="DINPro-Regular" w:cs="Arial"/>
          <w:color w:val="222222"/>
          <w:sz w:val="16"/>
          <w:szCs w:val="16"/>
          <w:shd w:val="clear" w:color="auto" w:fill="FFFFFF"/>
        </w:rPr>
        <w:t xml:space="preserve">a valós üzemállapotot tükrözi a teljes fűtési időszakban, azaz az adott készülék valós működési értékét </w:t>
      </w:r>
      <w:r w:rsidR="00657BDA">
        <w:rPr>
          <w:rFonts w:ascii="DINPro-Regular" w:hAnsi="DINPro-Regular" w:cs="Arial"/>
          <w:color w:val="222222"/>
          <w:sz w:val="16"/>
          <w:szCs w:val="16"/>
          <w:shd w:val="clear" w:color="auto" w:fill="FFFFFF"/>
        </w:rPr>
        <w:t>mutatja</w:t>
      </w:r>
      <w:r w:rsidRPr="00BD7632">
        <w:rPr>
          <w:rFonts w:ascii="DINPro-Regular" w:hAnsi="DINPro-Regular" w:cs="Arial"/>
          <w:color w:val="222222"/>
          <w:sz w:val="16"/>
          <w:szCs w:val="16"/>
          <w:shd w:val="clear" w:color="auto" w:fill="FFFFFF"/>
        </w:rPr>
        <w:t>.</w:t>
      </w:r>
      <w:r>
        <w:rPr>
          <w:rFonts w:ascii="DINPro-Regular" w:hAnsi="DINPro-Regular" w:cs="Arial"/>
          <w:color w:val="222222"/>
          <w:sz w:val="16"/>
          <w:szCs w:val="16"/>
          <w:shd w:val="clear" w:color="auto" w:fill="FFFFFF"/>
        </w:rPr>
        <w:t xml:space="preserve"> P</w:t>
      </w:r>
      <w:r w:rsidRPr="00BD7632">
        <w:rPr>
          <w:rFonts w:ascii="DINPro-Regular" w:hAnsi="DINPro-Regular" w:cs="Arial"/>
          <w:color w:val="222222"/>
          <w:sz w:val="16"/>
          <w:szCs w:val="16"/>
          <w:shd w:val="clear" w:color="auto" w:fill="FFFFFF"/>
        </w:rPr>
        <w:t xml:space="preserve">ontos minősítése és feltüntetése minden esetben a gyártó felelőssége. Ezen </w:t>
      </w:r>
      <w:r>
        <w:rPr>
          <w:rFonts w:ascii="DINPro-Regular" w:hAnsi="DINPro-Regular" w:cs="Arial"/>
          <w:color w:val="222222"/>
          <w:sz w:val="16"/>
          <w:szCs w:val="16"/>
          <w:shd w:val="clear" w:color="auto" w:fill="FFFFFF"/>
        </w:rPr>
        <w:t xml:space="preserve">minősítésen </w:t>
      </w:r>
      <w:r w:rsidRPr="00BD7632">
        <w:rPr>
          <w:rFonts w:ascii="DINPro-Regular" w:hAnsi="DINPro-Regular" w:cs="Arial"/>
          <w:color w:val="222222"/>
          <w:sz w:val="16"/>
          <w:szCs w:val="16"/>
          <w:shd w:val="clear" w:color="auto" w:fill="FFFFFF"/>
        </w:rPr>
        <w:t>alapul</w:t>
      </w:r>
      <w:r>
        <w:rPr>
          <w:rFonts w:ascii="DINPro-Regular" w:hAnsi="DINPro-Regular" w:cs="Arial"/>
          <w:color w:val="222222"/>
          <w:sz w:val="16"/>
          <w:szCs w:val="16"/>
          <w:shd w:val="clear" w:color="auto" w:fill="FFFFFF"/>
        </w:rPr>
        <w:t>nak</w:t>
      </w:r>
      <w:r w:rsidRPr="00BD7632">
        <w:rPr>
          <w:rFonts w:ascii="DINPro-Regular" w:hAnsi="DINPro-Regular" w:cs="Arial"/>
          <w:color w:val="222222"/>
          <w:sz w:val="16"/>
          <w:szCs w:val="16"/>
          <w:shd w:val="clear" w:color="auto" w:fill="FFFFFF"/>
        </w:rPr>
        <w:t xml:space="preserve"> az energiacímke </w:t>
      </w:r>
      <w:r>
        <w:rPr>
          <w:rFonts w:ascii="DINPro-Regular" w:hAnsi="DINPro-Regular" w:cs="Arial"/>
          <w:color w:val="222222"/>
          <w:sz w:val="16"/>
          <w:szCs w:val="16"/>
          <w:shd w:val="clear" w:color="auto" w:fill="FFFFFF"/>
        </w:rPr>
        <w:t xml:space="preserve">által tartalmazott értékek </w:t>
      </w:r>
      <w:r w:rsidRPr="00BD7632">
        <w:rPr>
          <w:rFonts w:ascii="DINPro-Regular" w:hAnsi="DINPro-Regular" w:cs="Arial"/>
          <w:color w:val="222222"/>
          <w:sz w:val="16"/>
          <w:szCs w:val="16"/>
          <w:shd w:val="clear" w:color="auto" w:fill="FFFFFF"/>
        </w:rPr>
        <w:t>is.</w:t>
      </w:r>
    </w:p>
    <w:p w:rsidR="002B11AB" w:rsidRPr="002E27F4" w:rsidRDefault="002B11AB" w:rsidP="00C7709B">
      <w:pPr>
        <w:pStyle w:val="Lbjegyzetszveg"/>
        <w:rPr>
          <w:rFonts w:ascii="DINPro-Regular" w:eastAsiaTheme="minorHAnsi" w:hAnsi="DINPro-Regular" w:cs="Arial"/>
          <w:color w:val="222222"/>
          <w:sz w:val="16"/>
          <w:szCs w:val="16"/>
          <w:shd w:val="clear" w:color="auto" w:fill="FFFFFF"/>
          <w:lang w:eastAsia="en-US"/>
        </w:rPr>
      </w:pPr>
    </w:p>
  </w:footnote>
  <w:footnote w:id="6">
    <w:p w:rsidR="002B11AB" w:rsidRDefault="002B11AB" w:rsidP="00C7709B">
      <w:pPr>
        <w:pStyle w:val="Lbjegyzetszveg"/>
        <w:rPr>
          <w:rFonts w:ascii="DINPro-Regular" w:eastAsiaTheme="minorHAnsi" w:hAnsi="DINPro-Regular" w:cs="Arial"/>
          <w:color w:val="222222"/>
          <w:sz w:val="16"/>
          <w:szCs w:val="16"/>
          <w:shd w:val="clear" w:color="auto" w:fill="FFFFFF"/>
          <w:lang w:eastAsia="en-US"/>
        </w:rPr>
      </w:pPr>
      <w:r w:rsidRPr="002E27F4">
        <w:rPr>
          <w:rFonts w:ascii="DINPro-Regular" w:eastAsiaTheme="minorHAnsi" w:hAnsi="DINPro-Regular" w:cs="Arial"/>
          <w:color w:val="222222"/>
          <w:sz w:val="16"/>
          <w:szCs w:val="16"/>
          <w:shd w:val="clear" w:color="auto" w:fill="FFFFFF"/>
          <w:lang w:eastAsia="en-US"/>
        </w:rPr>
        <w:footnoteRef/>
      </w:r>
      <w:r w:rsidRPr="002E27F4">
        <w:rPr>
          <w:rFonts w:ascii="DINPro-Regular" w:eastAsiaTheme="minorHAnsi" w:hAnsi="DINPro-Regular" w:cs="Arial"/>
          <w:color w:val="222222"/>
          <w:sz w:val="16"/>
          <w:szCs w:val="16"/>
          <w:shd w:val="clear" w:color="auto" w:fill="FFFFFF"/>
          <w:lang w:eastAsia="en-US"/>
        </w:rPr>
        <w:t xml:space="preserve"> Az átlagos családi ház</w:t>
      </w:r>
      <w:r>
        <w:rPr>
          <w:rFonts w:ascii="DINPro-Regular" w:eastAsiaTheme="minorHAnsi" w:hAnsi="DINPro-Regular" w:cs="Arial"/>
          <w:color w:val="222222"/>
          <w:sz w:val="16"/>
          <w:szCs w:val="16"/>
          <w:shd w:val="clear" w:color="auto" w:fill="FFFFFF"/>
          <w:lang w:eastAsia="en-US"/>
        </w:rPr>
        <w:t>ak kazánjának</w:t>
      </w:r>
      <w:r w:rsidRPr="002E27F4">
        <w:rPr>
          <w:rFonts w:ascii="DINPro-Regular" w:eastAsiaTheme="minorHAnsi" w:hAnsi="DINPro-Regular" w:cs="Arial"/>
          <w:color w:val="222222"/>
          <w:sz w:val="16"/>
          <w:szCs w:val="16"/>
          <w:shd w:val="clear" w:color="auto" w:fill="FFFFFF"/>
          <w:lang w:eastAsia="en-US"/>
        </w:rPr>
        <w:t xml:space="preserve"> méret</w:t>
      </w:r>
      <w:r>
        <w:rPr>
          <w:rFonts w:ascii="DINPro-Regular" w:eastAsiaTheme="minorHAnsi" w:hAnsi="DINPro-Regular" w:cs="Arial"/>
          <w:color w:val="222222"/>
          <w:sz w:val="16"/>
          <w:szCs w:val="16"/>
          <w:shd w:val="clear" w:color="auto" w:fill="FFFFFF"/>
          <w:lang w:eastAsia="en-US"/>
        </w:rPr>
        <w:t>e</w:t>
      </w:r>
      <w:r w:rsidRPr="002E27F4">
        <w:rPr>
          <w:rFonts w:ascii="DINPro-Regular" w:eastAsiaTheme="minorHAnsi" w:hAnsi="DINPro-Regular" w:cs="Arial"/>
          <w:color w:val="222222"/>
          <w:sz w:val="16"/>
          <w:szCs w:val="16"/>
          <w:shd w:val="clear" w:color="auto" w:fill="FFFFFF"/>
          <w:lang w:eastAsia="en-US"/>
        </w:rPr>
        <w:t xml:space="preserve"> (kombinált átfolyós vízmelegítő és helyiségfűtő berendezés esetén) 24 kW. Egy százlakásos társasházak </w:t>
      </w:r>
      <w:r w:rsidRPr="002B11AB">
        <w:rPr>
          <w:rFonts w:ascii="DINPro-Regular" w:eastAsiaTheme="minorHAnsi" w:hAnsi="DINPro-Regular" w:cs="Arial"/>
          <w:color w:val="222222"/>
          <w:sz w:val="16"/>
          <w:szCs w:val="16"/>
          <w:shd w:val="clear" w:color="auto" w:fill="FFFFFF"/>
          <w:lang w:eastAsia="en-US"/>
        </w:rPr>
        <w:t>kazánja kb. 400 kW.</w:t>
      </w:r>
    </w:p>
    <w:p w:rsidR="00FC7249" w:rsidRPr="002B11AB" w:rsidRDefault="00FC7249" w:rsidP="00C7709B">
      <w:pPr>
        <w:pStyle w:val="Lbjegyzetszveg"/>
      </w:pPr>
    </w:p>
  </w:footnote>
  <w:footnote w:id="7">
    <w:p w:rsidR="002B11AB" w:rsidRPr="00F42F5B" w:rsidRDefault="002B11AB" w:rsidP="00C7709B">
      <w:pPr>
        <w:rPr>
          <w:rFonts w:ascii="DINPro-Regular" w:hAnsi="DINPro-Regular" w:cs="Arial"/>
          <w:color w:val="222222"/>
          <w:sz w:val="16"/>
          <w:szCs w:val="16"/>
        </w:rPr>
      </w:pPr>
      <w:r w:rsidRPr="002B11AB">
        <w:rPr>
          <w:rStyle w:val="Lbjegyzet-hivatkozs"/>
          <w:sz w:val="18"/>
          <w:szCs w:val="18"/>
        </w:rPr>
        <w:footnoteRef/>
      </w:r>
      <w:r w:rsidRPr="002B11AB">
        <w:rPr>
          <w:sz w:val="18"/>
          <w:szCs w:val="18"/>
        </w:rPr>
        <w:t xml:space="preserve"> </w:t>
      </w:r>
      <w:r w:rsidR="00FC3B68" w:rsidRPr="00F42F5B">
        <w:rPr>
          <w:rFonts w:ascii="DINPro-Regular" w:hAnsi="DINPro-Regular" w:cs="Arial"/>
          <w:color w:val="222222"/>
          <w:sz w:val="16"/>
          <w:szCs w:val="16"/>
        </w:rPr>
        <w:t xml:space="preserve">A nitrogén-oxid kibocsátásra vonatkozó követelmények </w:t>
      </w:r>
    </w:p>
    <w:p w:rsidR="002B11AB" w:rsidRPr="00F42F5B" w:rsidRDefault="002B11AB" w:rsidP="00C7709B">
      <w:pPr>
        <w:contextualSpacing/>
        <w:jc w:val="both"/>
        <w:rPr>
          <w:rFonts w:ascii="DINPro-Regular" w:hAnsi="DINPro-Regular" w:cs="Arial"/>
          <w:color w:val="222222"/>
          <w:sz w:val="16"/>
          <w:szCs w:val="16"/>
        </w:rPr>
      </w:pPr>
      <w:r w:rsidRPr="00F42F5B">
        <w:rPr>
          <w:rFonts w:ascii="DINPro-Regular" w:hAnsi="DINPro-Regular" w:cs="Arial"/>
          <w:color w:val="222222"/>
          <w:sz w:val="16"/>
          <w:szCs w:val="16"/>
        </w:rPr>
        <w:t xml:space="preserve">2018. szeptember 26-tól a fűtőberendezések nitrogén-oxid mennyiségben kifejezett kibocsátása nem haladhatja meg az alábbi értékeket: </w:t>
      </w:r>
    </w:p>
    <w:p w:rsidR="002B11AB" w:rsidRPr="00F42F5B" w:rsidRDefault="002B11AB" w:rsidP="00C7709B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DINPro-Regular" w:hAnsi="DINPro-Regular" w:cs="Arial"/>
          <w:color w:val="222222"/>
          <w:sz w:val="16"/>
          <w:szCs w:val="16"/>
        </w:rPr>
      </w:pPr>
      <w:r w:rsidRPr="00F42F5B">
        <w:rPr>
          <w:rFonts w:ascii="DINPro-Regular" w:hAnsi="DINPro-Regular" w:cs="Arial"/>
          <w:color w:val="222222"/>
          <w:sz w:val="16"/>
          <w:szCs w:val="16"/>
        </w:rPr>
        <w:t xml:space="preserve">gáznemű tüzelőanyaggal működő helyiségfűtő tüzelőkazánok és kombinált tüzelőkazánok: 56 mg/kWh tüzelőanyag-felhasználás </w:t>
      </w:r>
      <w:proofErr w:type="spellStart"/>
      <w:r w:rsidRPr="00F42F5B">
        <w:rPr>
          <w:rFonts w:ascii="DINPro-Regular" w:hAnsi="DINPro-Regular" w:cs="Arial"/>
          <w:color w:val="222222"/>
          <w:sz w:val="16"/>
          <w:szCs w:val="16"/>
        </w:rPr>
        <w:t>GCV-ben</w:t>
      </w:r>
      <w:proofErr w:type="spellEnd"/>
      <w:r w:rsidR="00657BDA" w:rsidRPr="00F42F5B">
        <w:rPr>
          <w:rFonts w:ascii="DINPro-Regular" w:hAnsi="DINPro-Regular" w:cs="Arial"/>
          <w:color w:val="222222"/>
          <w:sz w:val="16"/>
          <w:szCs w:val="16"/>
        </w:rPr>
        <w:t>, azaz égéshőben</w:t>
      </w:r>
      <w:r w:rsidRPr="00F42F5B">
        <w:rPr>
          <w:rFonts w:ascii="DINPro-Regular" w:hAnsi="DINPro-Regular" w:cs="Arial"/>
          <w:color w:val="222222"/>
          <w:sz w:val="16"/>
          <w:szCs w:val="16"/>
        </w:rPr>
        <w:t xml:space="preserve"> kifejezve, </w:t>
      </w:r>
    </w:p>
    <w:p w:rsidR="002B11AB" w:rsidRPr="00F42F5B" w:rsidRDefault="002B11AB" w:rsidP="00C7709B">
      <w:pPr>
        <w:pStyle w:val="Listaszerbekezds"/>
        <w:numPr>
          <w:ilvl w:val="0"/>
          <w:numId w:val="6"/>
        </w:numPr>
        <w:spacing w:line="240" w:lineRule="auto"/>
        <w:jc w:val="both"/>
        <w:rPr>
          <w:rFonts w:ascii="DINPro-Regular" w:hAnsi="DINPro-Regular" w:cs="Arial"/>
          <w:color w:val="222222"/>
          <w:sz w:val="16"/>
          <w:szCs w:val="16"/>
        </w:rPr>
      </w:pPr>
      <w:r w:rsidRPr="00F42F5B">
        <w:rPr>
          <w:rFonts w:ascii="DINPro-Regular" w:hAnsi="DINPro-Regular" w:cs="Arial"/>
          <w:color w:val="222222"/>
          <w:sz w:val="16"/>
          <w:szCs w:val="16"/>
        </w:rPr>
        <w:t xml:space="preserve">folyékony tüzelőanyaggal működő helyiségfűtő tüzelőkazánok és kombinált tüzelőkazánok: 120 mg/kWh tüzelőanyag-felhasználás </w:t>
      </w:r>
      <w:proofErr w:type="spellStart"/>
      <w:r w:rsidRPr="00F42F5B">
        <w:rPr>
          <w:rFonts w:ascii="DINPro-Regular" w:hAnsi="DINPro-Regular" w:cs="Arial"/>
          <w:color w:val="222222"/>
          <w:sz w:val="16"/>
          <w:szCs w:val="16"/>
        </w:rPr>
        <w:t>GCV-ben</w:t>
      </w:r>
      <w:proofErr w:type="spellEnd"/>
      <w:r w:rsidRPr="00F42F5B">
        <w:rPr>
          <w:rFonts w:ascii="DINPro-Regular" w:hAnsi="DINPro-Regular" w:cs="Arial"/>
          <w:color w:val="222222"/>
          <w:sz w:val="16"/>
          <w:szCs w:val="16"/>
        </w:rPr>
        <w:t xml:space="preserve"> kifejezve.</w:t>
      </w:r>
    </w:p>
    <w:p w:rsidR="002B11AB" w:rsidRDefault="002B11AB" w:rsidP="00C7709B">
      <w:pPr>
        <w:pStyle w:val="Lbjegyzetszveg"/>
      </w:pPr>
    </w:p>
  </w:footnote>
  <w:footnote w:id="8">
    <w:p w:rsidR="002B11AB" w:rsidRDefault="002B11AB" w:rsidP="00C7709B">
      <w:pPr>
        <w:pStyle w:val="Lbjegyzetszveg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1AB" w:rsidRDefault="0059538E" w:rsidP="00F8692A">
    <w:pPr>
      <w:pStyle w:val="lfej"/>
      <w:jc w:val="center"/>
    </w:pPr>
    <w:r>
      <w:rPr>
        <w:noProof/>
      </w:rPr>
      <w:pict>
        <v:rect id="Rectangle 1" o:spid="_x0000_s4098" style="position:absolute;left:0;text-align:left;margin-left:355.7pt;margin-top:58.95pt;width:48.9pt;height:10.2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" stroked="f"/>
      </w:pict>
    </w:r>
    <w:r w:rsidR="002B11AB">
      <w:rPr>
        <w:noProof/>
      </w:rPr>
      <w:drawing>
        <wp:inline distT="0" distB="0" distL="0" distR="0">
          <wp:extent cx="5741670" cy="1882140"/>
          <wp:effectExtent l="19050" t="0" r="0" b="0"/>
          <wp:docPr id="1" name="Kép 1" descr="lev_fej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lev_fejl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670" cy="188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11AB" w:rsidRDefault="0059538E" w:rsidP="00F8692A">
    <w:pPr>
      <w:pStyle w:val="lfej"/>
      <w:jc w:val="center"/>
    </w:pPr>
    <w:r>
      <w:rPr>
        <w:noProof/>
      </w:rPr>
      <w:pict>
        <v:rect id="Rectangle 2" o:spid="_x0000_s4097" style="position:absolute;left:0;text-align:left;margin-left:378.7pt;margin-top:55.1pt;width:50.6pt;height:10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" stroked="f"/>
      </w:pict>
    </w:r>
    <w:r w:rsidR="002B11AB">
      <w:rPr>
        <w:noProof/>
      </w:rPr>
      <w:drawing>
        <wp:inline distT="0" distB="0" distL="0" distR="0">
          <wp:extent cx="5369560" cy="1765300"/>
          <wp:effectExtent l="19050" t="0" r="2540" b="0"/>
          <wp:docPr id="2" name="Kép 2" descr="lev_fej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v_fejle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9560" cy="176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C18F6"/>
    <w:multiLevelType w:val="hybridMultilevel"/>
    <w:tmpl w:val="599AEE20"/>
    <w:lvl w:ilvl="0" w:tplc="252A2A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47" w:hanging="360"/>
      </w:pPr>
    </w:lvl>
    <w:lvl w:ilvl="2" w:tplc="040E001B" w:tentative="1">
      <w:start w:val="1"/>
      <w:numFmt w:val="lowerRoman"/>
      <w:lvlText w:val="%3."/>
      <w:lvlJc w:val="right"/>
      <w:pPr>
        <w:ind w:left="2367" w:hanging="180"/>
      </w:pPr>
    </w:lvl>
    <w:lvl w:ilvl="3" w:tplc="040E000F" w:tentative="1">
      <w:start w:val="1"/>
      <w:numFmt w:val="decimal"/>
      <w:lvlText w:val="%4."/>
      <w:lvlJc w:val="left"/>
      <w:pPr>
        <w:ind w:left="3087" w:hanging="360"/>
      </w:pPr>
    </w:lvl>
    <w:lvl w:ilvl="4" w:tplc="040E0019" w:tentative="1">
      <w:start w:val="1"/>
      <w:numFmt w:val="lowerLetter"/>
      <w:lvlText w:val="%5."/>
      <w:lvlJc w:val="left"/>
      <w:pPr>
        <w:ind w:left="3807" w:hanging="360"/>
      </w:pPr>
    </w:lvl>
    <w:lvl w:ilvl="5" w:tplc="040E001B" w:tentative="1">
      <w:start w:val="1"/>
      <w:numFmt w:val="lowerRoman"/>
      <w:lvlText w:val="%6."/>
      <w:lvlJc w:val="right"/>
      <w:pPr>
        <w:ind w:left="4527" w:hanging="180"/>
      </w:pPr>
    </w:lvl>
    <w:lvl w:ilvl="6" w:tplc="040E000F" w:tentative="1">
      <w:start w:val="1"/>
      <w:numFmt w:val="decimal"/>
      <w:lvlText w:val="%7."/>
      <w:lvlJc w:val="left"/>
      <w:pPr>
        <w:ind w:left="5247" w:hanging="360"/>
      </w:pPr>
    </w:lvl>
    <w:lvl w:ilvl="7" w:tplc="040E0019" w:tentative="1">
      <w:start w:val="1"/>
      <w:numFmt w:val="lowerLetter"/>
      <w:lvlText w:val="%8."/>
      <w:lvlJc w:val="left"/>
      <w:pPr>
        <w:ind w:left="5967" w:hanging="360"/>
      </w:pPr>
    </w:lvl>
    <w:lvl w:ilvl="8" w:tplc="040E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6D30135"/>
    <w:multiLevelType w:val="multilevel"/>
    <w:tmpl w:val="47C245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A755ADC"/>
    <w:multiLevelType w:val="hybridMultilevel"/>
    <w:tmpl w:val="E33CF9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1F5C88"/>
    <w:multiLevelType w:val="hybridMultilevel"/>
    <w:tmpl w:val="1BB65C5A"/>
    <w:lvl w:ilvl="0" w:tplc="0D0244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7C42BF"/>
    <w:multiLevelType w:val="hybridMultilevel"/>
    <w:tmpl w:val="203029F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E10544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C8C4034"/>
    <w:multiLevelType w:val="hybridMultilevel"/>
    <w:tmpl w:val="1BB65C5A"/>
    <w:lvl w:ilvl="0" w:tplc="0D0244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D90433"/>
    <w:multiLevelType w:val="hybridMultilevel"/>
    <w:tmpl w:val="F600E67E"/>
    <w:lvl w:ilvl="0" w:tplc="2FECE53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BB136FE"/>
    <w:multiLevelType w:val="hybridMultilevel"/>
    <w:tmpl w:val="E89432D0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821C5D"/>
    <w:multiLevelType w:val="multilevel"/>
    <w:tmpl w:val="E4F89FF8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>
    <w:nsid w:val="4B0367A5"/>
    <w:multiLevelType w:val="hybridMultilevel"/>
    <w:tmpl w:val="077ECDEE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BB628C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1892C89"/>
    <w:multiLevelType w:val="multilevel"/>
    <w:tmpl w:val="40EAE1D8"/>
    <w:lvl w:ilvl="0">
      <w:start w:val="1"/>
      <w:numFmt w:val="decimal"/>
      <w:pStyle w:val="Heading1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1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1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1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1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1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1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1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1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3">
    <w:nsid w:val="54354567"/>
    <w:multiLevelType w:val="hybridMultilevel"/>
    <w:tmpl w:val="3B3CB8BC"/>
    <w:lvl w:ilvl="0" w:tplc="2F96E88E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550E4CEE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2E953F3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7CD6F3E"/>
    <w:multiLevelType w:val="multilevel"/>
    <w:tmpl w:val="F4E249E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8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>
    <w:nsid w:val="6DC43682"/>
    <w:multiLevelType w:val="multilevel"/>
    <w:tmpl w:val="AAE6AA2E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8">
    <w:nsid w:val="700D78D6"/>
    <w:multiLevelType w:val="multilevel"/>
    <w:tmpl w:val="8BB28C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9">
    <w:nsid w:val="757148BF"/>
    <w:multiLevelType w:val="hybridMultilevel"/>
    <w:tmpl w:val="FC0E4006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2"/>
  </w:num>
  <w:num w:numId="4">
    <w:abstractNumId w:val="6"/>
  </w:num>
  <w:num w:numId="5">
    <w:abstractNumId w:val="13"/>
  </w:num>
  <w:num w:numId="6">
    <w:abstractNumId w:val="8"/>
  </w:num>
  <w:num w:numId="7">
    <w:abstractNumId w:val="19"/>
  </w:num>
  <w:num w:numId="8">
    <w:abstractNumId w:val="10"/>
  </w:num>
  <w:num w:numId="9">
    <w:abstractNumId w:val="18"/>
  </w:num>
  <w:num w:numId="10">
    <w:abstractNumId w:val="9"/>
  </w:num>
  <w:num w:numId="11">
    <w:abstractNumId w:val="7"/>
  </w:num>
  <w:num w:numId="12">
    <w:abstractNumId w:val="3"/>
  </w:num>
  <w:num w:numId="13">
    <w:abstractNumId w:val="0"/>
  </w:num>
  <w:num w:numId="14">
    <w:abstractNumId w:val="11"/>
  </w:num>
  <w:num w:numId="15">
    <w:abstractNumId w:val="15"/>
  </w:num>
  <w:num w:numId="16">
    <w:abstractNumId w:val="14"/>
  </w:num>
  <w:num w:numId="17">
    <w:abstractNumId w:val="5"/>
  </w:num>
  <w:num w:numId="18">
    <w:abstractNumId w:val="16"/>
  </w:num>
  <w:num w:numId="19">
    <w:abstractNumId w:val="1"/>
  </w:num>
  <w:num w:numId="20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27110"/>
    <w:rsid w:val="0000218B"/>
    <w:rsid w:val="000064FB"/>
    <w:rsid w:val="00007FD8"/>
    <w:rsid w:val="0001231E"/>
    <w:rsid w:val="00020330"/>
    <w:rsid w:val="000253A4"/>
    <w:rsid w:val="0003480F"/>
    <w:rsid w:val="0003572A"/>
    <w:rsid w:val="0003638A"/>
    <w:rsid w:val="00042131"/>
    <w:rsid w:val="00042370"/>
    <w:rsid w:val="00042E41"/>
    <w:rsid w:val="00046C59"/>
    <w:rsid w:val="00053A09"/>
    <w:rsid w:val="00056877"/>
    <w:rsid w:val="000610A8"/>
    <w:rsid w:val="00064639"/>
    <w:rsid w:val="00065C40"/>
    <w:rsid w:val="0007007D"/>
    <w:rsid w:val="00070166"/>
    <w:rsid w:val="00077447"/>
    <w:rsid w:val="000802FB"/>
    <w:rsid w:val="00080D0E"/>
    <w:rsid w:val="00085FAF"/>
    <w:rsid w:val="00090804"/>
    <w:rsid w:val="00095DE2"/>
    <w:rsid w:val="000977A5"/>
    <w:rsid w:val="000A119C"/>
    <w:rsid w:val="000A5587"/>
    <w:rsid w:val="000B1F45"/>
    <w:rsid w:val="000B3107"/>
    <w:rsid w:val="000C4FB8"/>
    <w:rsid w:val="000C5141"/>
    <w:rsid w:val="000C566D"/>
    <w:rsid w:val="000E1167"/>
    <w:rsid w:val="000E2629"/>
    <w:rsid w:val="000E513A"/>
    <w:rsid w:val="000F6F09"/>
    <w:rsid w:val="00100961"/>
    <w:rsid w:val="00101F5E"/>
    <w:rsid w:val="00102286"/>
    <w:rsid w:val="001063F9"/>
    <w:rsid w:val="00111693"/>
    <w:rsid w:val="001134EC"/>
    <w:rsid w:val="00113978"/>
    <w:rsid w:val="0011708D"/>
    <w:rsid w:val="00117CA0"/>
    <w:rsid w:val="00121791"/>
    <w:rsid w:val="0012313D"/>
    <w:rsid w:val="001313C9"/>
    <w:rsid w:val="00134DFB"/>
    <w:rsid w:val="00136B2C"/>
    <w:rsid w:val="001428EB"/>
    <w:rsid w:val="00142DA7"/>
    <w:rsid w:val="00150927"/>
    <w:rsid w:val="001549A2"/>
    <w:rsid w:val="001559AD"/>
    <w:rsid w:val="001655F8"/>
    <w:rsid w:val="00177A79"/>
    <w:rsid w:val="00180001"/>
    <w:rsid w:val="001820E2"/>
    <w:rsid w:val="00182817"/>
    <w:rsid w:val="001860D6"/>
    <w:rsid w:val="00187AB3"/>
    <w:rsid w:val="001909B7"/>
    <w:rsid w:val="00192AFB"/>
    <w:rsid w:val="0019335C"/>
    <w:rsid w:val="00193F4E"/>
    <w:rsid w:val="00196E9E"/>
    <w:rsid w:val="001B4588"/>
    <w:rsid w:val="001B7A09"/>
    <w:rsid w:val="001C30AA"/>
    <w:rsid w:val="001C3B98"/>
    <w:rsid w:val="001C4E74"/>
    <w:rsid w:val="001D03F3"/>
    <w:rsid w:val="001D0DF1"/>
    <w:rsid w:val="001D51EB"/>
    <w:rsid w:val="001E4E18"/>
    <w:rsid w:val="001E77E9"/>
    <w:rsid w:val="001F1818"/>
    <w:rsid w:val="001F229F"/>
    <w:rsid w:val="001F3816"/>
    <w:rsid w:val="00203C9A"/>
    <w:rsid w:val="00204030"/>
    <w:rsid w:val="002064BB"/>
    <w:rsid w:val="00207F0F"/>
    <w:rsid w:val="002116CF"/>
    <w:rsid w:val="002176BA"/>
    <w:rsid w:val="00221E9F"/>
    <w:rsid w:val="00227592"/>
    <w:rsid w:val="002318FF"/>
    <w:rsid w:val="00241FCB"/>
    <w:rsid w:val="002439BF"/>
    <w:rsid w:val="002456FC"/>
    <w:rsid w:val="00245FA0"/>
    <w:rsid w:val="00257F96"/>
    <w:rsid w:val="00262021"/>
    <w:rsid w:val="002639DE"/>
    <w:rsid w:val="00263FFB"/>
    <w:rsid w:val="0027202F"/>
    <w:rsid w:val="00276B48"/>
    <w:rsid w:val="00281008"/>
    <w:rsid w:val="002819BA"/>
    <w:rsid w:val="002835BD"/>
    <w:rsid w:val="00286807"/>
    <w:rsid w:val="00293981"/>
    <w:rsid w:val="00295F90"/>
    <w:rsid w:val="002A1C86"/>
    <w:rsid w:val="002A4675"/>
    <w:rsid w:val="002B11AB"/>
    <w:rsid w:val="002B3A53"/>
    <w:rsid w:val="002B454D"/>
    <w:rsid w:val="002C0520"/>
    <w:rsid w:val="002C2C53"/>
    <w:rsid w:val="002C6B62"/>
    <w:rsid w:val="002D120B"/>
    <w:rsid w:val="002D6C78"/>
    <w:rsid w:val="002E0CB3"/>
    <w:rsid w:val="002E22B7"/>
    <w:rsid w:val="002E73D9"/>
    <w:rsid w:val="002F1CC1"/>
    <w:rsid w:val="002F503F"/>
    <w:rsid w:val="002F7113"/>
    <w:rsid w:val="00303D66"/>
    <w:rsid w:val="00317DD0"/>
    <w:rsid w:val="00320378"/>
    <w:rsid w:val="00320A76"/>
    <w:rsid w:val="003438E0"/>
    <w:rsid w:val="00347AF2"/>
    <w:rsid w:val="003571CE"/>
    <w:rsid w:val="003716D3"/>
    <w:rsid w:val="00372C39"/>
    <w:rsid w:val="00373D9C"/>
    <w:rsid w:val="003836D5"/>
    <w:rsid w:val="0038605E"/>
    <w:rsid w:val="00393F66"/>
    <w:rsid w:val="003B384F"/>
    <w:rsid w:val="003B7F11"/>
    <w:rsid w:val="003D0D2F"/>
    <w:rsid w:val="003D7E1F"/>
    <w:rsid w:val="003E70A7"/>
    <w:rsid w:val="003F7C14"/>
    <w:rsid w:val="0040322A"/>
    <w:rsid w:val="00403825"/>
    <w:rsid w:val="00421467"/>
    <w:rsid w:val="004234EF"/>
    <w:rsid w:val="00423E6E"/>
    <w:rsid w:val="004244BD"/>
    <w:rsid w:val="00425F03"/>
    <w:rsid w:val="00427A97"/>
    <w:rsid w:val="004313AC"/>
    <w:rsid w:val="00437C44"/>
    <w:rsid w:val="00440560"/>
    <w:rsid w:val="00440688"/>
    <w:rsid w:val="00442132"/>
    <w:rsid w:val="00447F4E"/>
    <w:rsid w:val="00450AA3"/>
    <w:rsid w:val="004510B0"/>
    <w:rsid w:val="004578B0"/>
    <w:rsid w:val="00464C47"/>
    <w:rsid w:val="0046641E"/>
    <w:rsid w:val="0047584C"/>
    <w:rsid w:val="00475B68"/>
    <w:rsid w:val="00480448"/>
    <w:rsid w:val="00483468"/>
    <w:rsid w:val="004846BC"/>
    <w:rsid w:val="00485145"/>
    <w:rsid w:val="00491F75"/>
    <w:rsid w:val="004A04F2"/>
    <w:rsid w:val="004A19B1"/>
    <w:rsid w:val="004A1B83"/>
    <w:rsid w:val="004A26B3"/>
    <w:rsid w:val="004A5E1F"/>
    <w:rsid w:val="004A61E7"/>
    <w:rsid w:val="004A67D9"/>
    <w:rsid w:val="004C221A"/>
    <w:rsid w:val="004C5398"/>
    <w:rsid w:val="004C6038"/>
    <w:rsid w:val="004D50AC"/>
    <w:rsid w:val="004F3F42"/>
    <w:rsid w:val="004F58EE"/>
    <w:rsid w:val="004F6B6D"/>
    <w:rsid w:val="005011D7"/>
    <w:rsid w:val="00512907"/>
    <w:rsid w:val="00520A70"/>
    <w:rsid w:val="0053183D"/>
    <w:rsid w:val="005319DB"/>
    <w:rsid w:val="0053202F"/>
    <w:rsid w:val="00534ACE"/>
    <w:rsid w:val="00542AC3"/>
    <w:rsid w:val="00546E25"/>
    <w:rsid w:val="00553213"/>
    <w:rsid w:val="00563CE8"/>
    <w:rsid w:val="00563ED2"/>
    <w:rsid w:val="005661EE"/>
    <w:rsid w:val="005710B0"/>
    <w:rsid w:val="00571C2B"/>
    <w:rsid w:val="00583998"/>
    <w:rsid w:val="005841BA"/>
    <w:rsid w:val="00587B01"/>
    <w:rsid w:val="0059538E"/>
    <w:rsid w:val="00597F86"/>
    <w:rsid w:val="005A4642"/>
    <w:rsid w:val="005A6C31"/>
    <w:rsid w:val="005A6CD8"/>
    <w:rsid w:val="005B6104"/>
    <w:rsid w:val="005B654F"/>
    <w:rsid w:val="005D0D9A"/>
    <w:rsid w:val="005D2849"/>
    <w:rsid w:val="005D3E20"/>
    <w:rsid w:val="005D4E14"/>
    <w:rsid w:val="005D79A3"/>
    <w:rsid w:val="005E1B3E"/>
    <w:rsid w:val="005E3C36"/>
    <w:rsid w:val="005F1EC4"/>
    <w:rsid w:val="005F2A0C"/>
    <w:rsid w:val="005F3ADD"/>
    <w:rsid w:val="005F5859"/>
    <w:rsid w:val="005F75FD"/>
    <w:rsid w:val="00613A25"/>
    <w:rsid w:val="00617DF9"/>
    <w:rsid w:val="0062005D"/>
    <w:rsid w:val="00625B33"/>
    <w:rsid w:val="00627814"/>
    <w:rsid w:val="006319B6"/>
    <w:rsid w:val="0063571D"/>
    <w:rsid w:val="00643CF5"/>
    <w:rsid w:val="00644AA0"/>
    <w:rsid w:val="00650DC0"/>
    <w:rsid w:val="0065401E"/>
    <w:rsid w:val="0065622D"/>
    <w:rsid w:val="00657BDA"/>
    <w:rsid w:val="00662721"/>
    <w:rsid w:val="00670B27"/>
    <w:rsid w:val="0068469C"/>
    <w:rsid w:val="006863E5"/>
    <w:rsid w:val="00686E52"/>
    <w:rsid w:val="006954E5"/>
    <w:rsid w:val="006A1226"/>
    <w:rsid w:val="006A413D"/>
    <w:rsid w:val="006A5F91"/>
    <w:rsid w:val="006A6D5E"/>
    <w:rsid w:val="006B50D5"/>
    <w:rsid w:val="006B6BCC"/>
    <w:rsid w:val="006C3217"/>
    <w:rsid w:val="006D2A92"/>
    <w:rsid w:val="006D3CE8"/>
    <w:rsid w:val="006D63D4"/>
    <w:rsid w:val="006E1544"/>
    <w:rsid w:val="006E319D"/>
    <w:rsid w:val="006E780A"/>
    <w:rsid w:val="006F4422"/>
    <w:rsid w:val="006F5E83"/>
    <w:rsid w:val="006F7A1C"/>
    <w:rsid w:val="0070763F"/>
    <w:rsid w:val="007135CA"/>
    <w:rsid w:val="007219A7"/>
    <w:rsid w:val="0072362C"/>
    <w:rsid w:val="007307A7"/>
    <w:rsid w:val="00733182"/>
    <w:rsid w:val="00733F4C"/>
    <w:rsid w:val="007422AD"/>
    <w:rsid w:val="007425D7"/>
    <w:rsid w:val="007431DA"/>
    <w:rsid w:val="007469C7"/>
    <w:rsid w:val="00756CCD"/>
    <w:rsid w:val="00757534"/>
    <w:rsid w:val="00764B33"/>
    <w:rsid w:val="00766860"/>
    <w:rsid w:val="007710C9"/>
    <w:rsid w:val="007750FF"/>
    <w:rsid w:val="00781778"/>
    <w:rsid w:val="0078355A"/>
    <w:rsid w:val="007844BD"/>
    <w:rsid w:val="0079423E"/>
    <w:rsid w:val="007A1BE6"/>
    <w:rsid w:val="007B3804"/>
    <w:rsid w:val="007B6F2F"/>
    <w:rsid w:val="007C2BA5"/>
    <w:rsid w:val="007C3550"/>
    <w:rsid w:val="007C4623"/>
    <w:rsid w:val="007C4BA6"/>
    <w:rsid w:val="007C6C4D"/>
    <w:rsid w:val="007D4161"/>
    <w:rsid w:val="007E459B"/>
    <w:rsid w:val="007E4EB0"/>
    <w:rsid w:val="007F1304"/>
    <w:rsid w:val="007F4EF0"/>
    <w:rsid w:val="007F6DB8"/>
    <w:rsid w:val="00802B72"/>
    <w:rsid w:val="00810F2B"/>
    <w:rsid w:val="0081465A"/>
    <w:rsid w:val="00815518"/>
    <w:rsid w:val="00816DC9"/>
    <w:rsid w:val="00817D7E"/>
    <w:rsid w:val="00830845"/>
    <w:rsid w:val="00854760"/>
    <w:rsid w:val="008547FA"/>
    <w:rsid w:val="00855884"/>
    <w:rsid w:val="008562A4"/>
    <w:rsid w:val="00860299"/>
    <w:rsid w:val="00865655"/>
    <w:rsid w:val="008773B8"/>
    <w:rsid w:val="00880918"/>
    <w:rsid w:val="00892927"/>
    <w:rsid w:val="0089441E"/>
    <w:rsid w:val="008B0E39"/>
    <w:rsid w:val="008B2669"/>
    <w:rsid w:val="008B35BB"/>
    <w:rsid w:val="008C6726"/>
    <w:rsid w:val="008D3DAD"/>
    <w:rsid w:val="008D568C"/>
    <w:rsid w:val="008E13F2"/>
    <w:rsid w:val="008F292A"/>
    <w:rsid w:val="00902F66"/>
    <w:rsid w:val="009051E2"/>
    <w:rsid w:val="0091112F"/>
    <w:rsid w:val="00913DC0"/>
    <w:rsid w:val="009179FA"/>
    <w:rsid w:val="0092008A"/>
    <w:rsid w:val="0092633F"/>
    <w:rsid w:val="00932A3C"/>
    <w:rsid w:val="00934DEE"/>
    <w:rsid w:val="009367C5"/>
    <w:rsid w:val="009409D6"/>
    <w:rsid w:val="00942677"/>
    <w:rsid w:val="00942F67"/>
    <w:rsid w:val="0094413E"/>
    <w:rsid w:val="00950515"/>
    <w:rsid w:val="00952F52"/>
    <w:rsid w:val="00956873"/>
    <w:rsid w:val="00956F51"/>
    <w:rsid w:val="0096462F"/>
    <w:rsid w:val="00964B18"/>
    <w:rsid w:val="0097150C"/>
    <w:rsid w:val="00974BDE"/>
    <w:rsid w:val="009875E2"/>
    <w:rsid w:val="0099148D"/>
    <w:rsid w:val="009A198A"/>
    <w:rsid w:val="009A4259"/>
    <w:rsid w:val="009B3B61"/>
    <w:rsid w:val="009B6F73"/>
    <w:rsid w:val="009D22F2"/>
    <w:rsid w:val="009E4679"/>
    <w:rsid w:val="009E4BEF"/>
    <w:rsid w:val="009F02E3"/>
    <w:rsid w:val="009F0656"/>
    <w:rsid w:val="009F2D6F"/>
    <w:rsid w:val="009F7BDE"/>
    <w:rsid w:val="00A04426"/>
    <w:rsid w:val="00A074F2"/>
    <w:rsid w:val="00A20196"/>
    <w:rsid w:val="00A25F79"/>
    <w:rsid w:val="00A425F6"/>
    <w:rsid w:val="00A44994"/>
    <w:rsid w:val="00A45A5F"/>
    <w:rsid w:val="00A47B5A"/>
    <w:rsid w:val="00A61AAE"/>
    <w:rsid w:val="00A62384"/>
    <w:rsid w:val="00A646B2"/>
    <w:rsid w:val="00A669AA"/>
    <w:rsid w:val="00A66C2D"/>
    <w:rsid w:val="00A707E6"/>
    <w:rsid w:val="00A8189C"/>
    <w:rsid w:val="00A82160"/>
    <w:rsid w:val="00A825F3"/>
    <w:rsid w:val="00A97F68"/>
    <w:rsid w:val="00AA08C9"/>
    <w:rsid w:val="00AA0F0A"/>
    <w:rsid w:val="00AA6B88"/>
    <w:rsid w:val="00AB65E7"/>
    <w:rsid w:val="00AB68D5"/>
    <w:rsid w:val="00AC166E"/>
    <w:rsid w:val="00AC173E"/>
    <w:rsid w:val="00AC7975"/>
    <w:rsid w:val="00AC79DC"/>
    <w:rsid w:val="00AD0B0A"/>
    <w:rsid w:val="00AD1E3D"/>
    <w:rsid w:val="00AD2CAB"/>
    <w:rsid w:val="00AE26BB"/>
    <w:rsid w:val="00AE2762"/>
    <w:rsid w:val="00AE53BE"/>
    <w:rsid w:val="00AE6FAA"/>
    <w:rsid w:val="00AE71D0"/>
    <w:rsid w:val="00AF241E"/>
    <w:rsid w:val="00AF51EA"/>
    <w:rsid w:val="00AF7519"/>
    <w:rsid w:val="00B003F0"/>
    <w:rsid w:val="00B05B2B"/>
    <w:rsid w:val="00B10690"/>
    <w:rsid w:val="00B125AE"/>
    <w:rsid w:val="00B200AA"/>
    <w:rsid w:val="00B201F7"/>
    <w:rsid w:val="00B2134B"/>
    <w:rsid w:val="00B25D4F"/>
    <w:rsid w:val="00B27222"/>
    <w:rsid w:val="00B31C8A"/>
    <w:rsid w:val="00B46DD9"/>
    <w:rsid w:val="00B6126D"/>
    <w:rsid w:val="00B620E4"/>
    <w:rsid w:val="00B63806"/>
    <w:rsid w:val="00B671CA"/>
    <w:rsid w:val="00B7056C"/>
    <w:rsid w:val="00B731FB"/>
    <w:rsid w:val="00B80CB8"/>
    <w:rsid w:val="00B86BD9"/>
    <w:rsid w:val="00B92121"/>
    <w:rsid w:val="00B93A20"/>
    <w:rsid w:val="00B9529E"/>
    <w:rsid w:val="00B95ECB"/>
    <w:rsid w:val="00BA0B3A"/>
    <w:rsid w:val="00BA40BD"/>
    <w:rsid w:val="00BA5468"/>
    <w:rsid w:val="00BB5869"/>
    <w:rsid w:val="00BC0ACF"/>
    <w:rsid w:val="00BC13AE"/>
    <w:rsid w:val="00BC2D05"/>
    <w:rsid w:val="00BC2F17"/>
    <w:rsid w:val="00BC4290"/>
    <w:rsid w:val="00BC5B8C"/>
    <w:rsid w:val="00BD1341"/>
    <w:rsid w:val="00BD263B"/>
    <w:rsid w:val="00BD5309"/>
    <w:rsid w:val="00BE0197"/>
    <w:rsid w:val="00C00BD6"/>
    <w:rsid w:val="00C01C39"/>
    <w:rsid w:val="00C049E3"/>
    <w:rsid w:val="00C04D4D"/>
    <w:rsid w:val="00C16352"/>
    <w:rsid w:val="00C16792"/>
    <w:rsid w:val="00C1734E"/>
    <w:rsid w:val="00C20EC0"/>
    <w:rsid w:val="00C25CC6"/>
    <w:rsid w:val="00C33C48"/>
    <w:rsid w:val="00C34945"/>
    <w:rsid w:val="00C41005"/>
    <w:rsid w:val="00C45936"/>
    <w:rsid w:val="00C53D86"/>
    <w:rsid w:val="00C55743"/>
    <w:rsid w:val="00C55D0A"/>
    <w:rsid w:val="00C57464"/>
    <w:rsid w:val="00C621E2"/>
    <w:rsid w:val="00C73FE3"/>
    <w:rsid w:val="00C75161"/>
    <w:rsid w:val="00C7709B"/>
    <w:rsid w:val="00C84E88"/>
    <w:rsid w:val="00C87D9D"/>
    <w:rsid w:val="00CA06C0"/>
    <w:rsid w:val="00CA56C1"/>
    <w:rsid w:val="00CA5C97"/>
    <w:rsid w:val="00CB2147"/>
    <w:rsid w:val="00CC03B9"/>
    <w:rsid w:val="00CC1C00"/>
    <w:rsid w:val="00CC3482"/>
    <w:rsid w:val="00CD105C"/>
    <w:rsid w:val="00CD1D16"/>
    <w:rsid w:val="00CE3EE1"/>
    <w:rsid w:val="00CE46C9"/>
    <w:rsid w:val="00CF0648"/>
    <w:rsid w:val="00CF0DBE"/>
    <w:rsid w:val="00CF3DD2"/>
    <w:rsid w:val="00D0388B"/>
    <w:rsid w:val="00D03D77"/>
    <w:rsid w:val="00D05868"/>
    <w:rsid w:val="00D145F1"/>
    <w:rsid w:val="00D15D4F"/>
    <w:rsid w:val="00D21422"/>
    <w:rsid w:val="00D21D37"/>
    <w:rsid w:val="00D2618C"/>
    <w:rsid w:val="00D319CA"/>
    <w:rsid w:val="00D37398"/>
    <w:rsid w:val="00D373DB"/>
    <w:rsid w:val="00D423D2"/>
    <w:rsid w:val="00D50A70"/>
    <w:rsid w:val="00D50E94"/>
    <w:rsid w:val="00D53191"/>
    <w:rsid w:val="00D5548C"/>
    <w:rsid w:val="00D62A77"/>
    <w:rsid w:val="00D64579"/>
    <w:rsid w:val="00D779E2"/>
    <w:rsid w:val="00D82D6C"/>
    <w:rsid w:val="00D8380A"/>
    <w:rsid w:val="00D851C4"/>
    <w:rsid w:val="00D90324"/>
    <w:rsid w:val="00D92D7F"/>
    <w:rsid w:val="00D93DA6"/>
    <w:rsid w:val="00DA638F"/>
    <w:rsid w:val="00DB1518"/>
    <w:rsid w:val="00DB1893"/>
    <w:rsid w:val="00DB285F"/>
    <w:rsid w:val="00DB7279"/>
    <w:rsid w:val="00DC5057"/>
    <w:rsid w:val="00DD2794"/>
    <w:rsid w:val="00DE0E7D"/>
    <w:rsid w:val="00DE78DB"/>
    <w:rsid w:val="00DF3829"/>
    <w:rsid w:val="00DF7FD1"/>
    <w:rsid w:val="00E12F95"/>
    <w:rsid w:val="00E15C9F"/>
    <w:rsid w:val="00E17119"/>
    <w:rsid w:val="00E24F5C"/>
    <w:rsid w:val="00E264F7"/>
    <w:rsid w:val="00E27110"/>
    <w:rsid w:val="00E302B7"/>
    <w:rsid w:val="00E30BAD"/>
    <w:rsid w:val="00E32745"/>
    <w:rsid w:val="00E34414"/>
    <w:rsid w:val="00E35FFD"/>
    <w:rsid w:val="00E368AE"/>
    <w:rsid w:val="00E42859"/>
    <w:rsid w:val="00E5328D"/>
    <w:rsid w:val="00E57D7D"/>
    <w:rsid w:val="00E6077A"/>
    <w:rsid w:val="00E62455"/>
    <w:rsid w:val="00E664CE"/>
    <w:rsid w:val="00E6698A"/>
    <w:rsid w:val="00E66CF5"/>
    <w:rsid w:val="00E676B5"/>
    <w:rsid w:val="00E80BA2"/>
    <w:rsid w:val="00E84DF5"/>
    <w:rsid w:val="00E90BB3"/>
    <w:rsid w:val="00EB1851"/>
    <w:rsid w:val="00EB61C5"/>
    <w:rsid w:val="00EB6A93"/>
    <w:rsid w:val="00EC25BF"/>
    <w:rsid w:val="00EC43CA"/>
    <w:rsid w:val="00EC6527"/>
    <w:rsid w:val="00EC74F9"/>
    <w:rsid w:val="00ED114E"/>
    <w:rsid w:val="00ED23B7"/>
    <w:rsid w:val="00ED3442"/>
    <w:rsid w:val="00ED379F"/>
    <w:rsid w:val="00EE0144"/>
    <w:rsid w:val="00EE251A"/>
    <w:rsid w:val="00EE7845"/>
    <w:rsid w:val="00EF1D72"/>
    <w:rsid w:val="00EF2072"/>
    <w:rsid w:val="00F0017F"/>
    <w:rsid w:val="00F01CE3"/>
    <w:rsid w:val="00F021BE"/>
    <w:rsid w:val="00F12D35"/>
    <w:rsid w:val="00F15C2D"/>
    <w:rsid w:val="00F17D97"/>
    <w:rsid w:val="00F20B72"/>
    <w:rsid w:val="00F22BF8"/>
    <w:rsid w:val="00F250F2"/>
    <w:rsid w:val="00F375FC"/>
    <w:rsid w:val="00F42F5B"/>
    <w:rsid w:val="00F45897"/>
    <w:rsid w:val="00F4719B"/>
    <w:rsid w:val="00F53C62"/>
    <w:rsid w:val="00F6221A"/>
    <w:rsid w:val="00F632FB"/>
    <w:rsid w:val="00F6777F"/>
    <w:rsid w:val="00F70248"/>
    <w:rsid w:val="00F74259"/>
    <w:rsid w:val="00F75219"/>
    <w:rsid w:val="00F83415"/>
    <w:rsid w:val="00F8692A"/>
    <w:rsid w:val="00FA0796"/>
    <w:rsid w:val="00FA1C14"/>
    <w:rsid w:val="00FA444E"/>
    <w:rsid w:val="00FA5E1F"/>
    <w:rsid w:val="00FB6248"/>
    <w:rsid w:val="00FC3B68"/>
    <w:rsid w:val="00FC5B32"/>
    <w:rsid w:val="00FC7249"/>
    <w:rsid w:val="00FD1D71"/>
    <w:rsid w:val="00FD5136"/>
    <w:rsid w:val="00FD609D"/>
    <w:rsid w:val="00FF1A67"/>
    <w:rsid w:val="00FF3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93F4E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E30BA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E30BAD"/>
    <w:rPr>
      <w:rFonts w:ascii="Arial" w:hAnsi="Arial" w:cs="Arial"/>
      <w:b/>
      <w:bCs/>
      <w:kern w:val="32"/>
      <w:sz w:val="32"/>
      <w:szCs w:val="32"/>
    </w:rPr>
  </w:style>
  <w:style w:type="paragraph" w:styleId="lfej">
    <w:name w:val="header"/>
    <w:basedOn w:val="Norml"/>
    <w:link w:val="lfejChar"/>
    <w:uiPriority w:val="99"/>
    <w:rsid w:val="0085476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AF3093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85476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F3093"/>
    <w:rPr>
      <w:sz w:val="24"/>
      <w:szCs w:val="24"/>
    </w:rPr>
  </w:style>
  <w:style w:type="paragraph" w:customStyle="1" w:styleId="szveg">
    <w:name w:val="szöveg"/>
    <w:basedOn w:val="Norml"/>
    <w:uiPriority w:val="99"/>
    <w:rsid w:val="00D851C4"/>
    <w:pPr>
      <w:spacing w:line="360" w:lineRule="auto"/>
      <w:jc w:val="both"/>
    </w:pPr>
    <w:rPr>
      <w:rFonts w:ascii="Tahoma" w:hAnsi="Tahoma" w:cs="Tahoma"/>
      <w:color w:val="888888"/>
    </w:rPr>
  </w:style>
  <w:style w:type="paragraph" w:customStyle="1" w:styleId="cmzs">
    <w:name w:val="címzés"/>
    <w:basedOn w:val="Norml"/>
    <w:uiPriority w:val="99"/>
    <w:rsid w:val="000E513A"/>
    <w:rPr>
      <w:rFonts w:ascii="Tahoma" w:hAnsi="Tahoma" w:cs="Tahoma"/>
      <w:color w:val="888888"/>
    </w:rPr>
  </w:style>
  <w:style w:type="paragraph" w:customStyle="1" w:styleId="trgy">
    <w:name w:val="tárgy"/>
    <w:basedOn w:val="Norml"/>
    <w:uiPriority w:val="99"/>
    <w:rsid w:val="00182817"/>
    <w:pPr>
      <w:spacing w:before="360" w:after="360"/>
    </w:pPr>
    <w:rPr>
      <w:rFonts w:ascii="Tahoma" w:hAnsi="Tahoma" w:cs="Tahoma"/>
      <w:b/>
      <w:bCs/>
      <w:color w:val="888888"/>
    </w:rPr>
  </w:style>
  <w:style w:type="paragraph" w:styleId="NormlWeb">
    <w:name w:val="Normal (Web)"/>
    <w:basedOn w:val="Norml"/>
    <w:uiPriority w:val="99"/>
    <w:rsid w:val="000E513A"/>
    <w:pPr>
      <w:spacing w:before="100" w:beforeAutospacing="1" w:after="100" w:afterAutospacing="1"/>
    </w:pPr>
  </w:style>
  <w:style w:type="paragraph" w:customStyle="1" w:styleId="Tisztelt">
    <w:name w:val="Tisztelt..."/>
    <w:basedOn w:val="cmzs"/>
    <w:uiPriority w:val="99"/>
    <w:rsid w:val="00182817"/>
    <w:pPr>
      <w:spacing w:before="360" w:after="360"/>
    </w:pPr>
  </w:style>
  <w:style w:type="paragraph" w:customStyle="1" w:styleId="dvzlettel">
    <w:name w:val="Üdvözlettel:"/>
    <w:basedOn w:val="Norml"/>
    <w:uiPriority w:val="99"/>
    <w:rsid w:val="00FA5E1F"/>
    <w:pPr>
      <w:spacing w:before="960" w:after="960" w:line="480" w:lineRule="auto"/>
      <w:ind w:left="4956"/>
      <w:jc w:val="center"/>
    </w:pPr>
    <w:rPr>
      <w:rFonts w:ascii="Tahoma" w:hAnsi="Tahoma" w:cs="Tahoma"/>
      <w:color w:val="888888"/>
    </w:rPr>
  </w:style>
  <w:style w:type="paragraph" w:customStyle="1" w:styleId="Dtumozs">
    <w:name w:val="Dátumozás"/>
    <w:basedOn w:val="Norml"/>
    <w:uiPriority w:val="99"/>
    <w:rsid w:val="00FA5E1F"/>
    <w:pPr>
      <w:spacing w:before="480" w:after="480"/>
    </w:pPr>
    <w:rPr>
      <w:rFonts w:ascii="Tahoma" w:hAnsi="Tahoma" w:cs="Tahoma"/>
      <w:color w:val="888888"/>
    </w:rPr>
  </w:style>
  <w:style w:type="character" w:styleId="Hiperhivatkozs">
    <w:name w:val="Hyperlink"/>
    <w:basedOn w:val="Bekezdsalapbettpusa"/>
    <w:uiPriority w:val="99"/>
    <w:rsid w:val="00E30BAD"/>
    <w:rPr>
      <w:color w:val="0000FF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rsid w:val="00E30BAD"/>
    <w:rPr>
      <w:rFonts w:ascii="Tw Cen MT" w:hAnsi="Tw Cen MT" w:cs="Tw Cen MT"/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locked/>
    <w:rsid w:val="00E30BAD"/>
    <w:rPr>
      <w:rFonts w:ascii="Tw Cen MT" w:hAnsi="Tw Cen MT" w:cs="Tw Cen MT"/>
    </w:rPr>
  </w:style>
  <w:style w:type="character" w:styleId="Lbjegyzet-hivatkozs">
    <w:name w:val="footnote reference"/>
    <w:basedOn w:val="Bekezdsalapbettpusa"/>
    <w:uiPriority w:val="99"/>
    <w:semiHidden/>
    <w:rsid w:val="00E30BAD"/>
    <w:rPr>
      <w:vertAlign w:val="superscript"/>
    </w:rPr>
  </w:style>
  <w:style w:type="character" w:styleId="Jegyzethivatkozs">
    <w:name w:val="annotation reference"/>
    <w:basedOn w:val="Bekezdsalapbettpusa"/>
    <w:uiPriority w:val="99"/>
    <w:semiHidden/>
    <w:rsid w:val="007C462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7C4623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locked/>
    <w:rsid w:val="007C4623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7C462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locked/>
    <w:rsid w:val="007C4623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rsid w:val="007C462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locked/>
    <w:rsid w:val="007C4623"/>
    <w:rPr>
      <w:rFonts w:ascii="Tahoma" w:hAnsi="Tahoma" w:cs="Tahoma"/>
      <w:sz w:val="16"/>
      <w:szCs w:val="16"/>
    </w:rPr>
  </w:style>
  <w:style w:type="character" w:styleId="Mrltotthiperhivatkozs">
    <w:name w:val="FollowedHyperlink"/>
    <w:basedOn w:val="Bekezdsalapbettpusa"/>
    <w:uiPriority w:val="99"/>
    <w:rsid w:val="00440560"/>
    <w:rPr>
      <w:color w:val="800080"/>
      <w:u w:val="single"/>
    </w:rPr>
  </w:style>
  <w:style w:type="paragraph" w:customStyle="1" w:styleId="Heading11">
    <w:name w:val="Heading 11"/>
    <w:basedOn w:val="Norml"/>
    <w:uiPriority w:val="99"/>
    <w:rsid w:val="00EC74F9"/>
    <w:pPr>
      <w:numPr>
        <w:numId w:val="3"/>
      </w:numPr>
    </w:pPr>
  </w:style>
  <w:style w:type="paragraph" w:customStyle="1" w:styleId="Heading21">
    <w:name w:val="Heading 21"/>
    <w:basedOn w:val="Norml"/>
    <w:uiPriority w:val="99"/>
    <w:rsid w:val="00EC74F9"/>
    <w:pPr>
      <w:numPr>
        <w:ilvl w:val="1"/>
        <w:numId w:val="3"/>
      </w:numPr>
    </w:pPr>
  </w:style>
  <w:style w:type="paragraph" w:customStyle="1" w:styleId="Heading31">
    <w:name w:val="Heading 31"/>
    <w:basedOn w:val="Norml"/>
    <w:uiPriority w:val="99"/>
    <w:rsid w:val="00EC74F9"/>
    <w:pPr>
      <w:numPr>
        <w:ilvl w:val="2"/>
        <w:numId w:val="3"/>
      </w:numPr>
    </w:pPr>
  </w:style>
  <w:style w:type="paragraph" w:customStyle="1" w:styleId="Heading41">
    <w:name w:val="Heading 41"/>
    <w:basedOn w:val="Norml"/>
    <w:uiPriority w:val="99"/>
    <w:rsid w:val="00EC74F9"/>
    <w:pPr>
      <w:numPr>
        <w:ilvl w:val="3"/>
        <w:numId w:val="3"/>
      </w:numPr>
    </w:pPr>
  </w:style>
  <w:style w:type="paragraph" w:customStyle="1" w:styleId="Heading51">
    <w:name w:val="Heading 51"/>
    <w:basedOn w:val="Norml"/>
    <w:uiPriority w:val="99"/>
    <w:rsid w:val="00EC74F9"/>
    <w:pPr>
      <w:numPr>
        <w:ilvl w:val="4"/>
        <w:numId w:val="3"/>
      </w:numPr>
    </w:pPr>
  </w:style>
  <w:style w:type="paragraph" w:customStyle="1" w:styleId="Heading61">
    <w:name w:val="Heading 61"/>
    <w:basedOn w:val="Norml"/>
    <w:uiPriority w:val="99"/>
    <w:rsid w:val="00EC74F9"/>
    <w:pPr>
      <w:numPr>
        <w:ilvl w:val="5"/>
        <w:numId w:val="3"/>
      </w:numPr>
    </w:pPr>
  </w:style>
  <w:style w:type="paragraph" w:customStyle="1" w:styleId="Heading71">
    <w:name w:val="Heading 71"/>
    <w:basedOn w:val="Norml"/>
    <w:uiPriority w:val="99"/>
    <w:rsid w:val="00EC74F9"/>
    <w:pPr>
      <w:numPr>
        <w:ilvl w:val="6"/>
        <w:numId w:val="3"/>
      </w:numPr>
    </w:pPr>
  </w:style>
  <w:style w:type="paragraph" w:customStyle="1" w:styleId="Heading81">
    <w:name w:val="Heading 81"/>
    <w:basedOn w:val="Norml"/>
    <w:uiPriority w:val="99"/>
    <w:rsid w:val="00EC74F9"/>
    <w:pPr>
      <w:numPr>
        <w:ilvl w:val="7"/>
        <w:numId w:val="3"/>
      </w:numPr>
    </w:pPr>
  </w:style>
  <w:style w:type="paragraph" w:customStyle="1" w:styleId="Heading91">
    <w:name w:val="Heading 91"/>
    <w:basedOn w:val="Norml"/>
    <w:uiPriority w:val="99"/>
    <w:rsid w:val="00EC74F9"/>
    <w:pPr>
      <w:numPr>
        <w:ilvl w:val="8"/>
        <w:numId w:val="3"/>
      </w:numPr>
    </w:pPr>
  </w:style>
  <w:style w:type="paragraph" w:styleId="Kpalrs">
    <w:name w:val="caption"/>
    <w:basedOn w:val="Norml"/>
    <w:next w:val="Norml"/>
    <w:uiPriority w:val="99"/>
    <w:qFormat/>
    <w:rsid w:val="00EC74F9"/>
    <w:pPr>
      <w:spacing w:after="200"/>
    </w:pPr>
    <w:rPr>
      <w:b/>
      <w:bCs/>
      <w:color w:val="4F81BD"/>
      <w:sz w:val="18"/>
      <w:szCs w:val="18"/>
    </w:rPr>
  </w:style>
  <w:style w:type="paragraph" w:customStyle="1" w:styleId="Default">
    <w:name w:val="Default"/>
    <w:rsid w:val="00286807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Kiemels">
    <w:name w:val="Emphasis"/>
    <w:basedOn w:val="Bekezdsalapbettpusa"/>
    <w:uiPriority w:val="20"/>
    <w:qFormat/>
    <w:locked/>
    <w:rsid w:val="00E6698A"/>
    <w:rPr>
      <w:i/>
      <w:iCs/>
    </w:rPr>
  </w:style>
  <w:style w:type="paragraph" w:customStyle="1" w:styleId="a3520normaltiret201">
    <w:name w:val="a__35__20_normal_tiret_20_1"/>
    <w:basedOn w:val="Norml"/>
    <w:rsid w:val="00D423D2"/>
    <w:pPr>
      <w:spacing w:before="100" w:beforeAutospacing="1" w:after="100" w:afterAutospacing="1"/>
    </w:pPr>
  </w:style>
  <w:style w:type="character" w:customStyle="1" w:styleId="at2">
    <w:name w:val="a__t2"/>
    <w:basedOn w:val="Bekezdsalapbettpusa"/>
    <w:rsid w:val="00D423D2"/>
  </w:style>
  <w:style w:type="character" w:customStyle="1" w:styleId="at4">
    <w:name w:val="a__t4"/>
    <w:basedOn w:val="Bekezdsalapbettpusa"/>
    <w:rsid w:val="00D423D2"/>
  </w:style>
  <w:style w:type="paragraph" w:customStyle="1" w:styleId="5normal">
    <w:name w:val="5normal"/>
    <w:basedOn w:val="Norml"/>
    <w:rsid w:val="00D423D2"/>
    <w:pPr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2064B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3E70A7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TJ1">
    <w:name w:val="toc 1"/>
    <w:basedOn w:val="Norml"/>
    <w:next w:val="Norml"/>
    <w:autoRedefine/>
    <w:uiPriority w:val="39"/>
    <w:unhideWhenUsed/>
    <w:qFormat/>
    <w:rsid w:val="003E70A7"/>
    <w:pPr>
      <w:spacing w:after="100"/>
    </w:pPr>
  </w:style>
  <w:style w:type="paragraph" w:styleId="TJ2">
    <w:name w:val="toc 2"/>
    <w:basedOn w:val="Norml"/>
    <w:next w:val="Norml"/>
    <w:autoRedefine/>
    <w:uiPriority w:val="39"/>
    <w:semiHidden/>
    <w:unhideWhenUsed/>
    <w:qFormat/>
    <w:rsid w:val="00733182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J3">
    <w:name w:val="toc 3"/>
    <w:basedOn w:val="Norml"/>
    <w:next w:val="Norml"/>
    <w:autoRedefine/>
    <w:uiPriority w:val="39"/>
    <w:semiHidden/>
    <w:unhideWhenUsed/>
    <w:qFormat/>
    <w:rsid w:val="00733182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93F4E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E30BA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E30BAD"/>
    <w:rPr>
      <w:rFonts w:ascii="Arial" w:hAnsi="Arial" w:cs="Arial"/>
      <w:b/>
      <w:bCs/>
      <w:kern w:val="32"/>
      <w:sz w:val="32"/>
      <w:szCs w:val="32"/>
    </w:rPr>
  </w:style>
  <w:style w:type="paragraph" w:styleId="lfej">
    <w:name w:val="header"/>
    <w:basedOn w:val="Norml"/>
    <w:link w:val="lfejChar"/>
    <w:uiPriority w:val="99"/>
    <w:rsid w:val="0085476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AF3093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85476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F3093"/>
    <w:rPr>
      <w:sz w:val="24"/>
      <w:szCs w:val="24"/>
    </w:rPr>
  </w:style>
  <w:style w:type="paragraph" w:customStyle="1" w:styleId="szveg">
    <w:name w:val="szöveg"/>
    <w:basedOn w:val="Norml"/>
    <w:uiPriority w:val="99"/>
    <w:rsid w:val="00D851C4"/>
    <w:pPr>
      <w:spacing w:line="360" w:lineRule="auto"/>
      <w:jc w:val="both"/>
    </w:pPr>
    <w:rPr>
      <w:rFonts w:ascii="Tahoma" w:hAnsi="Tahoma" w:cs="Tahoma"/>
      <w:color w:val="888888"/>
    </w:rPr>
  </w:style>
  <w:style w:type="paragraph" w:customStyle="1" w:styleId="cmzs">
    <w:name w:val="címzés"/>
    <w:basedOn w:val="Norml"/>
    <w:uiPriority w:val="99"/>
    <w:rsid w:val="000E513A"/>
    <w:rPr>
      <w:rFonts w:ascii="Tahoma" w:hAnsi="Tahoma" w:cs="Tahoma"/>
      <w:color w:val="888888"/>
    </w:rPr>
  </w:style>
  <w:style w:type="paragraph" w:customStyle="1" w:styleId="trgy">
    <w:name w:val="tárgy"/>
    <w:basedOn w:val="Norml"/>
    <w:uiPriority w:val="99"/>
    <w:rsid w:val="00182817"/>
    <w:pPr>
      <w:spacing w:before="360" w:after="360"/>
    </w:pPr>
    <w:rPr>
      <w:rFonts w:ascii="Tahoma" w:hAnsi="Tahoma" w:cs="Tahoma"/>
      <w:b/>
      <w:bCs/>
      <w:color w:val="888888"/>
    </w:rPr>
  </w:style>
  <w:style w:type="paragraph" w:styleId="NormlWeb">
    <w:name w:val="Normal (Web)"/>
    <w:basedOn w:val="Norml"/>
    <w:uiPriority w:val="99"/>
    <w:rsid w:val="000E513A"/>
    <w:pPr>
      <w:spacing w:before="100" w:beforeAutospacing="1" w:after="100" w:afterAutospacing="1"/>
    </w:pPr>
  </w:style>
  <w:style w:type="paragraph" w:customStyle="1" w:styleId="Tisztelt">
    <w:name w:val="Tisztelt..."/>
    <w:basedOn w:val="cmzs"/>
    <w:uiPriority w:val="99"/>
    <w:rsid w:val="00182817"/>
    <w:pPr>
      <w:spacing w:before="360" w:after="360"/>
    </w:pPr>
  </w:style>
  <w:style w:type="paragraph" w:customStyle="1" w:styleId="dvzlettel">
    <w:name w:val="Üdvözlettel:"/>
    <w:basedOn w:val="Norml"/>
    <w:uiPriority w:val="99"/>
    <w:rsid w:val="00FA5E1F"/>
    <w:pPr>
      <w:spacing w:before="960" w:after="960" w:line="480" w:lineRule="auto"/>
      <w:ind w:left="4956"/>
      <w:jc w:val="center"/>
    </w:pPr>
    <w:rPr>
      <w:rFonts w:ascii="Tahoma" w:hAnsi="Tahoma" w:cs="Tahoma"/>
      <w:color w:val="888888"/>
    </w:rPr>
  </w:style>
  <w:style w:type="paragraph" w:customStyle="1" w:styleId="Dtumozs">
    <w:name w:val="Dátumozás"/>
    <w:basedOn w:val="Norml"/>
    <w:uiPriority w:val="99"/>
    <w:rsid w:val="00FA5E1F"/>
    <w:pPr>
      <w:spacing w:before="480" w:after="480"/>
    </w:pPr>
    <w:rPr>
      <w:rFonts w:ascii="Tahoma" w:hAnsi="Tahoma" w:cs="Tahoma"/>
      <w:color w:val="888888"/>
    </w:rPr>
  </w:style>
  <w:style w:type="character" w:styleId="Hiperhivatkozs">
    <w:name w:val="Hyperlink"/>
    <w:basedOn w:val="Bekezdsalapbettpusa"/>
    <w:uiPriority w:val="99"/>
    <w:rsid w:val="00E30BAD"/>
    <w:rPr>
      <w:color w:val="0000FF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rsid w:val="00E30BAD"/>
    <w:rPr>
      <w:rFonts w:ascii="Tw Cen MT" w:hAnsi="Tw Cen MT" w:cs="Tw Cen MT"/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locked/>
    <w:rsid w:val="00E30BAD"/>
    <w:rPr>
      <w:rFonts w:ascii="Tw Cen MT" w:hAnsi="Tw Cen MT" w:cs="Tw Cen MT"/>
    </w:rPr>
  </w:style>
  <w:style w:type="character" w:styleId="Lbjegyzet-hivatkozs">
    <w:name w:val="footnote reference"/>
    <w:basedOn w:val="Bekezdsalapbettpusa"/>
    <w:uiPriority w:val="99"/>
    <w:semiHidden/>
    <w:rsid w:val="00E30BAD"/>
    <w:rPr>
      <w:vertAlign w:val="superscript"/>
    </w:rPr>
  </w:style>
  <w:style w:type="character" w:styleId="Jegyzethivatkozs">
    <w:name w:val="annotation reference"/>
    <w:basedOn w:val="Bekezdsalapbettpusa"/>
    <w:uiPriority w:val="99"/>
    <w:semiHidden/>
    <w:rsid w:val="007C4623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rsid w:val="007C4623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locked/>
    <w:rsid w:val="007C4623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7C4623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locked/>
    <w:rsid w:val="007C4623"/>
    <w:rPr>
      <w:b/>
      <w:bCs/>
    </w:rPr>
  </w:style>
  <w:style w:type="paragraph" w:styleId="Buborkszveg">
    <w:name w:val="Balloon Text"/>
    <w:basedOn w:val="Norml"/>
    <w:link w:val="BuborkszvegChar"/>
    <w:uiPriority w:val="99"/>
    <w:semiHidden/>
    <w:rsid w:val="007C462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locked/>
    <w:rsid w:val="007C4623"/>
    <w:rPr>
      <w:rFonts w:ascii="Tahoma" w:hAnsi="Tahoma" w:cs="Tahoma"/>
      <w:sz w:val="16"/>
      <w:szCs w:val="16"/>
    </w:rPr>
  </w:style>
  <w:style w:type="character" w:styleId="Mrltotthiperhivatkozs">
    <w:name w:val="FollowedHyperlink"/>
    <w:basedOn w:val="Bekezdsalapbettpusa"/>
    <w:uiPriority w:val="99"/>
    <w:rsid w:val="00440560"/>
    <w:rPr>
      <w:color w:val="800080"/>
      <w:u w:val="single"/>
    </w:rPr>
  </w:style>
  <w:style w:type="paragraph" w:customStyle="1" w:styleId="Heading11">
    <w:name w:val="Heading 11"/>
    <w:basedOn w:val="Norml"/>
    <w:uiPriority w:val="99"/>
    <w:rsid w:val="00EC74F9"/>
    <w:pPr>
      <w:numPr>
        <w:numId w:val="3"/>
      </w:numPr>
    </w:pPr>
  </w:style>
  <w:style w:type="paragraph" w:customStyle="1" w:styleId="Heading21">
    <w:name w:val="Heading 21"/>
    <w:basedOn w:val="Norml"/>
    <w:uiPriority w:val="99"/>
    <w:rsid w:val="00EC74F9"/>
    <w:pPr>
      <w:numPr>
        <w:ilvl w:val="1"/>
        <w:numId w:val="3"/>
      </w:numPr>
    </w:pPr>
  </w:style>
  <w:style w:type="paragraph" w:customStyle="1" w:styleId="Heading31">
    <w:name w:val="Heading 31"/>
    <w:basedOn w:val="Norml"/>
    <w:uiPriority w:val="99"/>
    <w:rsid w:val="00EC74F9"/>
    <w:pPr>
      <w:numPr>
        <w:ilvl w:val="2"/>
        <w:numId w:val="3"/>
      </w:numPr>
    </w:pPr>
  </w:style>
  <w:style w:type="paragraph" w:customStyle="1" w:styleId="Heading41">
    <w:name w:val="Heading 41"/>
    <w:basedOn w:val="Norml"/>
    <w:uiPriority w:val="99"/>
    <w:rsid w:val="00EC74F9"/>
    <w:pPr>
      <w:numPr>
        <w:ilvl w:val="3"/>
        <w:numId w:val="3"/>
      </w:numPr>
    </w:pPr>
  </w:style>
  <w:style w:type="paragraph" w:customStyle="1" w:styleId="Heading51">
    <w:name w:val="Heading 51"/>
    <w:basedOn w:val="Norml"/>
    <w:uiPriority w:val="99"/>
    <w:rsid w:val="00EC74F9"/>
    <w:pPr>
      <w:numPr>
        <w:ilvl w:val="4"/>
        <w:numId w:val="3"/>
      </w:numPr>
    </w:pPr>
  </w:style>
  <w:style w:type="paragraph" w:customStyle="1" w:styleId="Heading61">
    <w:name w:val="Heading 61"/>
    <w:basedOn w:val="Norml"/>
    <w:uiPriority w:val="99"/>
    <w:rsid w:val="00EC74F9"/>
    <w:pPr>
      <w:numPr>
        <w:ilvl w:val="5"/>
        <w:numId w:val="3"/>
      </w:numPr>
    </w:pPr>
  </w:style>
  <w:style w:type="paragraph" w:customStyle="1" w:styleId="Heading71">
    <w:name w:val="Heading 71"/>
    <w:basedOn w:val="Norml"/>
    <w:uiPriority w:val="99"/>
    <w:rsid w:val="00EC74F9"/>
    <w:pPr>
      <w:numPr>
        <w:ilvl w:val="6"/>
        <w:numId w:val="3"/>
      </w:numPr>
    </w:pPr>
  </w:style>
  <w:style w:type="paragraph" w:customStyle="1" w:styleId="Heading81">
    <w:name w:val="Heading 81"/>
    <w:basedOn w:val="Norml"/>
    <w:uiPriority w:val="99"/>
    <w:rsid w:val="00EC74F9"/>
    <w:pPr>
      <w:numPr>
        <w:ilvl w:val="7"/>
        <w:numId w:val="3"/>
      </w:numPr>
    </w:pPr>
  </w:style>
  <w:style w:type="paragraph" w:customStyle="1" w:styleId="Heading91">
    <w:name w:val="Heading 91"/>
    <w:basedOn w:val="Norml"/>
    <w:uiPriority w:val="99"/>
    <w:rsid w:val="00EC74F9"/>
    <w:pPr>
      <w:numPr>
        <w:ilvl w:val="8"/>
        <w:numId w:val="3"/>
      </w:numPr>
    </w:pPr>
  </w:style>
  <w:style w:type="paragraph" w:styleId="Kpalrs">
    <w:name w:val="caption"/>
    <w:basedOn w:val="Norml"/>
    <w:next w:val="Norml"/>
    <w:uiPriority w:val="99"/>
    <w:qFormat/>
    <w:rsid w:val="00EC74F9"/>
    <w:pPr>
      <w:spacing w:after="200"/>
    </w:pPr>
    <w:rPr>
      <w:b/>
      <w:bCs/>
      <w:color w:val="4F81BD"/>
      <w:sz w:val="18"/>
      <w:szCs w:val="18"/>
    </w:rPr>
  </w:style>
  <w:style w:type="paragraph" w:customStyle="1" w:styleId="Default">
    <w:name w:val="Default"/>
    <w:rsid w:val="00286807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Kiemels">
    <w:name w:val="Emphasis"/>
    <w:basedOn w:val="Bekezdsalapbettpusa"/>
    <w:uiPriority w:val="20"/>
    <w:qFormat/>
    <w:locked/>
    <w:rsid w:val="00E6698A"/>
    <w:rPr>
      <w:i/>
      <w:iCs/>
    </w:rPr>
  </w:style>
  <w:style w:type="paragraph" w:customStyle="1" w:styleId="a3520normaltiret201">
    <w:name w:val="a__35__20_normal_tiret_20_1"/>
    <w:basedOn w:val="Norml"/>
    <w:rsid w:val="00D423D2"/>
    <w:pPr>
      <w:spacing w:before="100" w:beforeAutospacing="1" w:after="100" w:afterAutospacing="1"/>
    </w:pPr>
  </w:style>
  <w:style w:type="character" w:customStyle="1" w:styleId="at2">
    <w:name w:val="a__t2"/>
    <w:basedOn w:val="Bekezdsalapbettpusa"/>
    <w:rsid w:val="00D423D2"/>
  </w:style>
  <w:style w:type="character" w:customStyle="1" w:styleId="at4">
    <w:name w:val="a__t4"/>
    <w:basedOn w:val="Bekezdsalapbettpusa"/>
    <w:rsid w:val="00D423D2"/>
  </w:style>
  <w:style w:type="paragraph" w:customStyle="1" w:styleId="5normal">
    <w:name w:val="5normal"/>
    <w:basedOn w:val="Norml"/>
    <w:rsid w:val="00D423D2"/>
    <w:pPr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2064B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3E70A7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TJ1">
    <w:name w:val="toc 1"/>
    <w:basedOn w:val="Norml"/>
    <w:next w:val="Norml"/>
    <w:autoRedefine/>
    <w:uiPriority w:val="39"/>
    <w:unhideWhenUsed/>
    <w:qFormat/>
    <w:rsid w:val="003E70A7"/>
    <w:pPr>
      <w:spacing w:after="100"/>
    </w:pPr>
  </w:style>
  <w:style w:type="paragraph" w:styleId="TJ2">
    <w:name w:val="toc 2"/>
    <w:basedOn w:val="Norml"/>
    <w:next w:val="Norml"/>
    <w:autoRedefine/>
    <w:uiPriority w:val="39"/>
    <w:semiHidden/>
    <w:unhideWhenUsed/>
    <w:qFormat/>
    <w:rsid w:val="00733182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J3">
    <w:name w:val="toc 3"/>
    <w:basedOn w:val="Norml"/>
    <w:next w:val="Norml"/>
    <w:autoRedefine/>
    <w:uiPriority w:val="39"/>
    <w:semiHidden/>
    <w:unhideWhenUsed/>
    <w:qFormat/>
    <w:rsid w:val="00733182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0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0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1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5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44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5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0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53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13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3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8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1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1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64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ehi@mehi.hu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eur-lex.europa.eu/legal-content/HU/TXT/PDF/?uri=CELEX:32013R0811&amp;qid=1418731091729&amp;from=HU" TargetMode="External"/><Relationship Id="rId2" Type="http://schemas.openxmlformats.org/officeDocument/2006/relationships/hyperlink" Target="http://www.kozlonyok.hu/nkonline/MKPDF/hiteles/MK14035.pdf" TargetMode="External"/><Relationship Id="rId1" Type="http://schemas.openxmlformats.org/officeDocument/2006/relationships/hyperlink" Target="http://energiaklub.hu/sites/default/files/sajtokozlemeny_energaihatekonysagi_barometer_2014.pdf" TargetMode="External"/><Relationship Id="rId5" Type="http://schemas.openxmlformats.org/officeDocument/2006/relationships/hyperlink" Target="http://eur-lex.europa.eu/LexUriServ/LexUriServ.do?uri=OJ:L:2013:239:0162:0183:HU:PDF" TargetMode="External"/><Relationship Id="rId4" Type="http://schemas.openxmlformats.org/officeDocument/2006/relationships/hyperlink" Target="http://eur-lex.europa.eu/legal-content/HU/TXT/PDF/?uri=CELEX:32013R0813&amp;qid=1418731076566&amp;from=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D1796B-442C-427B-9537-6DAD22CEB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1348</Words>
  <Characters>9308</Characters>
  <Application>Microsoft Office Word</Application>
  <DocSecurity>0</DocSecurity>
  <Lines>77</Lines>
  <Paragraphs>21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30 milliárd karbonforint gazdaságösztönzésre</vt:lpstr>
    </vt:vector>
  </TitlesOfParts>
  <Company>ek</Company>
  <LinksUpToDate>false</LinksUpToDate>
  <CharactersWithSpaces>10635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30 milliárd karbonforint gazdaságösztönzésre</dc:title>
  <dc:creator>admin</dc:creator>
  <cp:lastModifiedBy>SarkadiP</cp:lastModifiedBy>
  <cp:revision>2</cp:revision>
  <cp:lastPrinted>2012-10-04T12:31:00Z</cp:lastPrinted>
  <dcterms:created xsi:type="dcterms:W3CDTF">2015-01-11T17:16:00Z</dcterms:created>
  <dcterms:modified xsi:type="dcterms:W3CDTF">2015-01-11T17:16:00Z</dcterms:modified>
</cp:coreProperties>
</file>